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3.png" ContentType="image/png"/>
  <Override PartName="/word/media/image2.jpeg" ContentType="image/jpeg"/>
  <Override PartName="/word/media/image8.png" ContentType="image/png"/>
  <Override PartName="/word/media/image4.jpeg" ContentType="image/jpeg"/>
  <Override PartName="/word/media/image5.jpeg" ContentType="image/jpeg"/>
  <Override PartName="/word/media/image7.png" ContentType="image/png"/>
  <Override PartName="/word/media/image6.png" ContentType="image/png"/>
  <Override PartName="/word/media/image9.png" ContentType="image/pn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spacing w:lineRule="auto" w:line="240" w:before="240" w:after="120"/>
        <w:rPr/>
      </w:pPr>
      <w:r>
        <w:rPr/>
        <w:drawing>
          <wp:anchor behindDoc="0" distT="0" distB="0" distL="0" distR="0" simplePos="0" locked="0" layoutInCell="0" allowOverlap="1" relativeHeight="10">
            <wp:simplePos x="0" y="0"/>
            <wp:positionH relativeFrom="column">
              <wp:posOffset>1495425</wp:posOffset>
            </wp:positionH>
            <wp:positionV relativeFrom="paragraph">
              <wp:posOffset>114300</wp:posOffset>
            </wp:positionV>
            <wp:extent cx="985520" cy="974090"/>
            <wp:effectExtent l="0" t="0" r="0" b="0"/>
            <wp:wrapNone/>
            <wp:docPr id="1" name="image1.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
                    <pic:cNvPicPr>
                      <a:picLocks noChangeAspect="1" noChangeArrowheads="1"/>
                    </pic:cNvPicPr>
                  </pic:nvPicPr>
                  <pic:blipFill>
                    <a:blip r:embed="rId2"/>
                    <a:srcRect l="11734" t="12350" r="11411" b="11443"/>
                    <a:stretch>
                      <a:fillRect/>
                    </a:stretch>
                  </pic:blipFill>
                  <pic:spPr bwMode="auto">
                    <a:xfrm>
                      <a:off x="0" y="0"/>
                      <a:ext cx="985520" cy="974090"/>
                    </a:xfrm>
                    <a:prstGeom prst="rect">
                      <a:avLst/>
                    </a:prstGeom>
                  </pic:spPr>
                </pic:pic>
              </a:graphicData>
            </a:graphic>
          </wp:anchor>
        </w:drawing>
        <w:drawing>
          <wp:anchor behindDoc="0" distT="0" distB="0" distL="0" distR="0" simplePos="0" locked="0" layoutInCell="0" allowOverlap="1" relativeHeight="9">
            <wp:simplePos x="0" y="0"/>
            <wp:positionH relativeFrom="column">
              <wp:posOffset>4410075</wp:posOffset>
            </wp:positionH>
            <wp:positionV relativeFrom="paragraph">
              <wp:posOffset>266700</wp:posOffset>
            </wp:positionV>
            <wp:extent cx="647700" cy="628650"/>
            <wp:effectExtent l="0" t="0" r="0" b="0"/>
            <wp:wrapNone/>
            <wp:docPr id="2" name="image8.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jpg" descr=""/>
                    <pic:cNvPicPr>
                      <a:picLocks noChangeAspect="1" noChangeArrowheads="1"/>
                    </pic:cNvPicPr>
                  </pic:nvPicPr>
                  <pic:blipFill>
                    <a:blip r:embed="rId3"/>
                    <a:stretch>
                      <a:fillRect/>
                    </a:stretch>
                  </pic:blipFill>
                  <pic:spPr bwMode="auto">
                    <a:xfrm>
                      <a:off x="0" y="0"/>
                      <a:ext cx="647700" cy="628650"/>
                    </a:xfrm>
                    <a:prstGeom prst="rect">
                      <a:avLst/>
                    </a:prstGeom>
                  </pic:spPr>
                </pic:pic>
              </a:graphicData>
            </a:graphic>
          </wp:anchor>
        </w:drawing>
        <w:drawing>
          <wp:anchor behindDoc="0" distT="0" distB="0" distL="0" distR="0" simplePos="0" locked="0" layoutInCell="0" allowOverlap="1" relativeHeight="8">
            <wp:simplePos x="0" y="0"/>
            <wp:positionH relativeFrom="column">
              <wp:posOffset>2628900</wp:posOffset>
            </wp:positionH>
            <wp:positionV relativeFrom="paragraph">
              <wp:posOffset>266700</wp:posOffset>
            </wp:positionV>
            <wp:extent cx="1409700" cy="627380"/>
            <wp:effectExtent l="0" t="0" r="0" b="0"/>
            <wp:wrapNone/>
            <wp:docPr id="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pic:cNvPicPr>
                      <a:picLocks noChangeAspect="1" noChangeArrowheads="1"/>
                    </pic:cNvPicPr>
                  </pic:nvPicPr>
                  <pic:blipFill>
                    <a:blip r:embed="rId4"/>
                    <a:stretch>
                      <a:fillRect/>
                    </a:stretch>
                  </pic:blipFill>
                  <pic:spPr bwMode="auto">
                    <a:xfrm>
                      <a:off x="0" y="0"/>
                      <a:ext cx="1409700" cy="627380"/>
                    </a:xfrm>
                    <a:prstGeom prst="rect">
                      <a:avLst/>
                    </a:prstGeom>
                  </pic:spPr>
                </pic:pic>
              </a:graphicData>
            </a:graphic>
          </wp:anchor>
        </w:drawing>
        <w:drawing>
          <wp:anchor behindDoc="0" distT="0" distB="0" distL="0" distR="0" simplePos="0" locked="0" layoutInCell="0" allowOverlap="1" relativeHeight="7">
            <wp:simplePos x="0" y="0"/>
            <wp:positionH relativeFrom="column">
              <wp:posOffset>5095875</wp:posOffset>
            </wp:positionH>
            <wp:positionV relativeFrom="paragraph">
              <wp:posOffset>276225</wp:posOffset>
            </wp:positionV>
            <wp:extent cx="1409700" cy="608330"/>
            <wp:effectExtent l="0" t="0" r="0" b="0"/>
            <wp:wrapNone/>
            <wp:docPr id="4" name="image3.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g" descr=""/>
                    <pic:cNvPicPr>
                      <a:picLocks noChangeAspect="1" noChangeArrowheads="1"/>
                    </pic:cNvPicPr>
                  </pic:nvPicPr>
                  <pic:blipFill>
                    <a:blip r:embed="rId5"/>
                    <a:stretch>
                      <a:fillRect/>
                    </a:stretch>
                  </pic:blipFill>
                  <pic:spPr bwMode="auto">
                    <a:xfrm>
                      <a:off x="0" y="0"/>
                      <a:ext cx="1409700" cy="608330"/>
                    </a:xfrm>
                    <a:prstGeom prst="rect">
                      <a:avLst/>
                    </a:prstGeom>
                  </pic:spPr>
                </pic:pic>
              </a:graphicData>
            </a:graphic>
          </wp:anchor>
        </w:drawing>
        <w:drawing>
          <wp:anchor behindDoc="0" distT="0" distB="0" distL="0" distR="0" simplePos="0" locked="0" layoutInCell="0" allowOverlap="1" relativeHeight="6">
            <wp:simplePos x="0" y="0"/>
            <wp:positionH relativeFrom="column">
              <wp:posOffset>-876300</wp:posOffset>
            </wp:positionH>
            <wp:positionV relativeFrom="paragraph">
              <wp:posOffset>190500</wp:posOffset>
            </wp:positionV>
            <wp:extent cx="1041400" cy="781050"/>
            <wp:effectExtent l="0" t="0" r="0" b="0"/>
            <wp:wrapNone/>
            <wp:docPr id="5" name="image9.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g" descr=""/>
                    <pic:cNvPicPr>
                      <a:picLocks noChangeAspect="1" noChangeArrowheads="1"/>
                    </pic:cNvPicPr>
                  </pic:nvPicPr>
                  <pic:blipFill>
                    <a:blip r:embed="rId6"/>
                    <a:srcRect l="8903" t="9038" r="10976" b="8455"/>
                    <a:stretch>
                      <a:fillRect/>
                    </a:stretch>
                  </pic:blipFill>
                  <pic:spPr bwMode="auto">
                    <a:xfrm>
                      <a:off x="0" y="0"/>
                      <a:ext cx="1041400" cy="781050"/>
                    </a:xfrm>
                    <a:prstGeom prst="rect">
                      <a:avLst/>
                    </a:prstGeom>
                  </pic:spPr>
                </pic:pic>
              </a:graphicData>
            </a:graphic>
          </wp:anchor>
        </w:drawing>
        <w:drawing>
          <wp:anchor behindDoc="0" distT="0" distB="0" distL="0" distR="0" simplePos="0" locked="0" layoutInCell="0" allowOverlap="1" relativeHeight="5">
            <wp:simplePos x="0" y="0"/>
            <wp:positionH relativeFrom="column">
              <wp:posOffset>161925</wp:posOffset>
            </wp:positionH>
            <wp:positionV relativeFrom="paragraph">
              <wp:posOffset>190500</wp:posOffset>
            </wp:positionV>
            <wp:extent cx="1409700" cy="784225"/>
            <wp:effectExtent l="0" t="0" r="0" b="0"/>
            <wp:wrapNone/>
            <wp:docPr id="6"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pic:cNvPicPr>
                      <a:picLocks noChangeAspect="1" noChangeArrowheads="1"/>
                    </pic:cNvPicPr>
                  </pic:nvPicPr>
                  <pic:blipFill>
                    <a:blip r:embed="rId7"/>
                    <a:stretch>
                      <a:fillRect/>
                    </a:stretch>
                  </pic:blipFill>
                  <pic:spPr bwMode="auto">
                    <a:xfrm>
                      <a:off x="0" y="0"/>
                      <a:ext cx="1409700" cy="784225"/>
                    </a:xfrm>
                    <a:prstGeom prst="rect">
                      <a:avLst/>
                    </a:prstGeom>
                  </pic:spPr>
                </pic:pic>
              </a:graphicData>
            </a:graphic>
          </wp:anchor>
        </w:drawing>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drawing>
          <wp:anchor behindDoc="0" distT="0" distB="0" distL="0" distR="0" simplePos="0" locked="0" layoutInCell="0" allowOverlap="1" relativeHeight="4">
            <wp:simplePos x="0" y="0"/>
            <wp:positionH relativeFrom="column">
              <wp:posOffset>1165225</wp:posOffset>
            </wp:positionH>
            <wp:positionV relativeFrom="paragraph">
              <wp:posOffset>352425</wp:posOffset>
            </wp:positionV>
            <wp:extent cx="3395345" cy="2784475"/>
            <wp:effectExtent l="0" t="0" r="0" b="0"/>
            <wp:wrapNone/>
            <wp:docPr id="7" name="image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descr=""/>
                    <pic:cNvPicPr>
                      <a:picLocks noChangeAspect="1" noChangeArrowheads="1"/>
                    </pic:cNvPicPr>
                  </pic:nvPicPr>
                  <pic:blipFill>
                    <a:blip r:embed="rId8"/>
                    <a:srcRect l="17404" t="18311" r="16292" b="27444"/>
                    <a:stretch>
                      <a:fillRect/>
                    </a:stretch>
                  </pic:blipFill>
                  <pic:spPr bwMode="auto">
                    <a:xfrm>
                      <a:off x="0" y="0"/>
                      <a:ext cx="3395345" cy="2784475"/>
                    </a:xfrm>
                    <a:prstGeom prst="rect">
                      <a:avLst/>
                    </a:prstGeom>
                  </pic:spPr>
                </pic:pic>
              </a:graphicData>
            </a:graphic>
          </wp:anchor>
        </w:drawing>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jc w:val="left"/>
        <w:rPr>
          <w:b/>
          <w:b/>
          <w:sz w:val="30"/>
          <w:szCs w:val="30"/>
        </w:rPr>
      </w:pPr>
      <w:r>
        <w:rPr>
          <w:b/>
          <w:sz w:val="30"/>
          <w:szCs w:val="30"/>
        </w:rPr>
      </w:r>
    </w:p>
    <w:p>
      <w:pPr>
        <w:pStyle w:val="Normal1"/>
        <w:spacing w:lineRule="auto" w:line="240" w:before="240" w:after="120"/>
        <w:jc w:val="center"/>
        <w:rPr>
          <w:b/>
          <w:b/>
          <w:sz w:val="30"/>
          <w:szCs w:val="30"/>
        </w:rPr>
      </w:pPr>
      <w:r>
        <w:rPr>
          <w:b/>
          <w:sz w:val="30"/>
          <w:szCs w:val="30"/>
        </w:rPr>
        <w:t>Dispositif de soutien aux projets d’Éducation à la Citoyenneté et à la Solidarité Internationale (ECSI</w:t>
      </w:r>
      <w:r>
        <w:rPr>
          <w:sz w:val="30"/>
          <w:szCs w:val="30"/>
        </w:rPr>
        <w:t>)</w:t>
      </w:r>
      <w:r>
        <w:rPr>
          <w:b/>
          <w:sz w:val="30"/>
          <w:szCs w:val="30"/>
        </w:rPr>
        <w:t xml:space="preserve"> en Bretagne</w:t>
      </w:r>
    </w:p>
    <w:p>
      <w:pPr>
        <w:pStyle w:val="Normal1"/>
        <w:spacing w:lineRule="auto" w:line="240" w:before="240" w:after="120"/>
        <w:jc w:val="center"/>
        <w:rPr>
          <w:b/>
          <w:b/>
          <w:sz w:val="30"/>
          <w:szCs w:val="30"/>
        </w:rPr>
      </w:pPr>
      <w:r>
        <w:rPr>
          <w:b/>
          <w:sz w:val="30"/>
          <w:szCs w:val="30"/>
        </w:rPr>
        <w:t>APPEL A PROJETS 2023</w:t>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120"/>
        <w:rPr/>
      </w:pPr>
      <w:r>
        <w:rPr/>
      </w:r>
    </w:p>
    <w:p>
      <w:pPr>
        <w:pStyle w:val="Normal1"/>
        <w:spacing w:lineRule="auto" w:line="240" w:before="240" w:after="240"/>
        <w:ind w:left="720" w:hanging="0"/>
        <w:rPr/>
      </w:pPr>
      <w:r>
        <w:rPr/>
      </w:r>
    </w:p>
    <w:p>
      <w:pPr>
        <w:pStyle w:val="Normal1"/>
        <w:spacing w:lineRule="auto" w:line="240" w:before="240" w:after="240"/>
        <w:ind w:left="720" w:hanging="0"/>
        <w:rPr/>
      </w:pPr>
      <w:r>
        <w:rPr/>
      </w:r>
    </w:p>
    <w:p>
      <w:pPr>
        <w:pStyle w:val="Normal1"/>
        <w:spacing w:lineRule="auto" w:line="240" w:before="240" w:after="240"/>
        <w:ind w:left="720" w:hanging="0"/>
        <w:rPr/>
      </w:pPr>
      <w:r>
        <w:rPr/>
      </w:r>
    </w:p>
    <w:p>
      <w:pPr>
        <w:pStyle w:val="Normal1"/>
        <w:spacing w:lineRule="auto" w:line="240" w:before="240" w:after="240"/>
        <w:ind w:left="720" w:hanging="0"/>
        <w:rPr/>
      </w:pPr>
      <w:r>
        <w:rPr/>
      </w:r>
    </w:p>
    <w:p>
      <w:pPr>
        <w:pStyle w:val="Normal1"/>
        <w:spacing w:lineRule="auto" w:line="240" w:before="240" w:after="240"/>
        <w:ind w:left="720" w:hanging="0"/>
        <w:rPr>
          <w:b/>
          <w:b/>
          <w:color w:val="1AD9D9"/>
          <w:sz w:val="28"/>
          <w:szCs w:val="28"/>
        </w:rPr>
      </w:pPr>
      <w:r>
        <w:rPr/>
        <w:tab/>
        <w:br/>
      </w:r>
      <w:r>
        <w:rPr>
          <w:color w:val="1AD9D9"/>
          <w:sz w:val="28"/>
          <w:szCs w:val="28"/>
        </w:rPr>
        <w:t xml:space="preserve"> I</w:t>
      </w:r>
      <w:r>
        <w:rPr>
          <w:color w:val="1AD9D9"/>
        </w:rPr>
        <w:tab/>
      </w:r>
      <w:r>
        <w:rPr>
          <w:b/>
          <w:color w:val="1AD9D9"/>
          <w:sz w:val="28"/>
          <w:szCs w:val="28"/>
        </w:rPr>
        <w:t>PRÉAMBULE</w:t>
      </w:r>
    </w:p>
    <w:p>
      <w:pPr>
        <w:pStyle w:val="Normal1"/>
        <w:spacing w:lineRule="auto" w:line="254" w:before="180" w:after="0"/>
        <w:ind w:left="120" w:right="120" w:hanging="0"/>
        <w:jc w:val="both"/>
        <w:rPr>
          <w:highlight w:val="white"/>
        </w:rPr>
      </w:pPr>
      <w:r>
        <w:rPr>
          <w:highlight w:val="white"/>
        </w:rPr>
      </w:r>
    </w:p>
    <w:p>
      <w:pPr>
        <w:pStyle w:val="Normal1"/>
        <w:spacing w:lineRule="auto" w:line="240"/>
        <w:jc w:val="both"/>
        <w:rPr>
          <w:highlight w:val="white"/>
        </w:rPr>
      </w:pPr>
      <w:r>
        <w:rPr/>
        <w:t>Le Réseau Bretagne Solidaire est un espace de concertation et de dialogue, ancré sur le territoire breton, à l’interface entre les différents échelons de l’action publique et de la société civile à l’international. Avec pour objet central la coopération et la solidarité internationales, il est au carrefour de plusieurs politiques publiques (jeunesse, éducation, environnement, coopération décentralisée etc.) dont il facilite la complémentarité et la mise en œuvre.</w:t>
      </w:r>
    </w:p>
    <w:p>
      <w:pPr>
        <w:pStyle w:val="Normal1"/>
        <w:spacing w:lineRule="auto" w:line="254" w:before="180" w:after="0"/>
        <w:ind w:left="0" w:right="120" w:hanging="0"/>
        <w:jc w:val="both"/>
        <w:rPr/>
      </w:pPr>
      <w:r>
        <w:rPr/>
        <w:t>Toutes ces dimensions d’intervention, d’approche, de projets sont autant d’outils efficaces pour sensibiliser des publics sur les interdépendances planétaires, les réalités vécues sur les différents continents, les enjeux mondiaux en termes d’égalité d’accès aux droits et les modes d’engagement possibles et leurs impacts.</w:t>
      </w:r>
    </w:p>
    <w:p>
      <w:pPr>
        <w:pStyle w:val="Normal1"/>
        <w:spacing w:lineRule="auto" w:line="254" w:before="180" w:after="0"/>
        <w:ind w:left="0" w:right="120" w:hanging="0"/>
        <w:jc w:val="both"/>
        <w:rPr>
          <w:b/>
          <w:b/>
        </w:rPr>
      </w:pPr>
      <w:r>
        <w:rPr>
          <w:b/>
        </w:rPr>
        <w:t xml:space="preserve">Cet appel à projets s’adresse à des acteurs bretons de la solidarité internationale et de l’éducation qui portent conjointement une action d’ECSI qui s’inscrit dans les objectifs de développement durable et qui s’adresse à des enfants et jeunes bretons dans une perspective de favoriser leur ouverture au monde et à l’interculturalité, leur prise de conscience des inégalités et leur engagement solidaire et citoyen. </w:t>
      </w:r>
    </w:p>
    <w:p>
      <w:pPr>
        <w:pStyle w:val="Normal1"/>
        <w:spacing w:lineRule="auto" w:line="254" w:before="180" w:after="0"/>
        <w:ind w:left="0" w:right="120" w:hanging="0"/>
        <w:jc w:val="both"/>
        <w:rPr/>
      </w:pPr>
      <w:r>
        <w:rPr>
          <w:b/>
        </w:rPr>
        <w:t>Ce dispositif est développé dans le cadre du programme</w:t>
      </w:r>
      <w:hyperlink r:id="rId9">
        <w:r>
          <w:rPr>
            <w:b/>
          </w:rPr>
          <w:t xml:space="preserve"> </w:t>
        </w:r>
      </w:hyperlink>
      <w:hyperlink r:id="rId10">
        <w:r>
          <w:rPr>
            <w:b/>
            <w:color w:val="1155CC"/>
            <w:u w:val="single"/>
          </w:rPr>
          <w:t>RECITAL ODD (</w:t>
        </w:r>
      </w:hyperlink>
      <w:r>
        <w:rPr>
          <w:b/>
          <w:i/>
        </w:rPr>
        <w:t>Renforcer l'Education à une Citoyenneté Internationale sur nos Territoires par une Approche Locale des ODD</w:t>
      </w:r>
      <w:r>
        <w:rPr>
          <w:b/>
        </w:rPr>
        <w:t>), financé par l'Agence Française de Développement (</w:t>
      </w:r>
      <w:hyperlink r:id="rId11">
        <w:r>
          <w:rPr>
            <w:b/>
            <w:color w:val="1155CC"/>
            <w:u w:val="single"/>
          </w:rPr>
          <w:t>AFD</w:t>
        </w:r>
      </w:hyperlink>
      <w:r>
        <w:rPr>
          <w:b/>
        </w:rPr>
        <w:t>) et porté par la</w:t>
      </w:r>
      <w:hyperlink r:id="rId12">
        <w:r>
          <w:rPr>
            <w:b/>
          </w:rPr>
          <w:t xml:space="preserve"> </w:t>
        </w:r>
      </w:hyperlink>
      <w:hyperlink r:id="rId13">
        <w:r>
          <w:rPr>
            <w:b/>
            <w:color w:val="1155CC"/>
            <w:u w:val="single"/>
          </w:rPr>
          <w:t>CIRRMA</w:t>
        </w:r>
      </w:hyperlink>
      <w:r>
        <w:rPr>
          <w:b/>
          <w:color w:val="1155CC"/>
          <w:u w:val="single"/>
        </w:rPr>
        <w:t xml:space="preserve"> </w:t>
      </w:r>
      <w:r>
        <w:rPr>
          <w:b/>
        </w:rPr>
        <w:t>(Conférence Inter-régionale des Réseaux Régionaux Multi-Acteurs)</w:t>
      </w:r>
    </w:p>
    <w:p>
      <w:pPr>
        <w:pStyle w:val="Normal1"/>
        <w:spacing w:lineRule="auto" w:line="254" w:before="180" w:after="0"/>
        <w:ind w:left="0" w:right="120" w:hanging="0"/>
        <w:jc w:val="both"/>
        <w:rPr/>
      </w:pPr>
      <w:r>
        <w:rPr/>
      </w:r>
    </w:p>
    <w:p>
      <w:pPr>
        <w:pStyle w:val="Normal1"/>
        <w:spacing w:lineRule="auto" w:line="254" w:before="180" w:after="0"/>
        <w:ind w:right="120" w:hanging="0"/>
        <w:jc w:val="both"/>
        <w:rPr/>
      </w:pPr>
      <w:r>
        <w:rPr/>
        <w:t xml:space="preserve">Le dispositif bénéficie </w:t>
      </w:r>
      <w:r>
        <w:rPr/>
        <w:t xml:space="preserve">également </w:t>
      </w:r>
      <w:r>
        <w:rPr/>
        <w:t xml:space="preserve">du soutien de la Région Bretagne et de la Ville de Rennes. </w:t>
      </w:r>
    </w:p>
    <w:p>
      <w:pPr>
        <w:pStyle w:val="Normal1"/>
        <w:spacing w:lineRule="auto" w:line="254" w:before="180" w:after="0"/>
        <w:ind w:right="120" w:hanging="0"/>
        <w:jc w:val="both"/>
        <w:rPr/>
      </w:pPr>
      <w:r>
        <w:rPr/>
        <w:t>Les partenaires techniques associés aux projet sont : la Maison internationale de Rennes, Sitala, le RESIA et le Cicodes.</w:t>
      </w:r>
    </w:p>
    <w:p>
      <w:pPr>
        <w:pStyle w:val="Normal1"/>
        <w:spacing w:lineRule="auto" w:line="254" w:before="180" w:after="0"/>
        <w:ind w:left="0" w:right="120" w:hanging="0"/>
        <w:jc w:val="both"/>
        <w:rPr/>
      </w:pPr>
      <w:r>
        <w:rPr/>
      </w:r>
    </w:p>
    <w:p>
      <w:pPr>
        <w:pStyle w:val="Normal1"/>
        <w:spacing w:lineRule="auto" w:line="254" w:before="180" w:after="0"/>
        <w:ind w:left="120" w:right="120" w:hanging="0"/>
        <w:jc w:val="both"/>
        <w:rPr>
          <w:b/>
          <w:b/>
          <w:highlight w:val="yellow"/>
        </w:rPr>
      </w:pPr>
      <w:r>
        <w:rPr>
          <w:b/>
          <w:highlight w:val="yellow"/>
        </w:rPr>
      </w:r>
    </w:p>
    <w:p>
      <w:pPr>
        <w:pStyle w:val="Normal1"/>
        <w:spacing w:lineRule="auto" w:line="240" w:before="240" w:after="240"/>
        <w:ind w:left="0" w:firstLine="720"/>
        <w:rPr>
          <w:color w:val="1AD9D9"/>
          <w:sz w:val="24"/>
          <w:szCs w:val="24"/>
        </w:rPr>
      </w:pPr>
      <w:r>
        <w:rPr>
          <w:b/>
          <w:color w:val="1AD9D9"/>
          <w:sz w:val="28"/>
          <w:szCs w:val="28"/>
        </w:rPr>
        <w:t>II</w:t>
        <w:tab/>
        <w:t xml:space="preserve">OBJECTIFS </w:t>
        <w:tab/>
        <w:t xml:space="preserve">DU </w:t>
        <w:tab/>
        <w:t>DISPOSITIF</w:t>
      </w:r>
    </w:p>
    <w:p>
      <w:pPr>
        <w:pStyle w:val="Normal1"/>
        <w:spacing w:lineRule="auto" w:line="254"/>
        <w:ind w:left="120" w:right="120" w:hanging="0"/>
        <w:jc w:val="both"/>
        <w:rPr/>
      </w:pPr>
      <w:r>
        <w:rPr/>
        <w:t>Dans sa première édition en 2023, le dispositif « Solidaires pluriels » vise à susciter de nouvelles dynamiques de partenariat incluant au moins un acteur de la coopération et de la solidarité internationale et au moins un acteur issu du monde de l’éducation (formelle ou non formelle</w:t>
      </w:r>
      <w:r>
        <w:rPr>
          <w:rStyle w:val="Ancredenotedebasdepage"/>
          <w:vertAlign w:val="superscript"/>
        </w:rPr>
        <w:footnoteReference w:id="2"/>
      </w:r>
      <w:r>
        <w:rPr/>
        <w:t>) dans un objectif de :</w:t>
      </w:r>
    </w:p>
    <w:p>
      <w:pPr>
        <w:pStyle w:val="Normal1"/>
        <w:numPr>
          <w:ilvl w:val="0"/>
          <w:numId w:val="7"/>
        </w:numPr>
        <w:spacing w:lineRule="auto" w:line="240" w:before="240" w:afterAutospacing="0" w:after="0"/>
        <w:ind w:left="720" w:hanging="360"/>
        <w:jc w:val="both"/>
        <w:rPr/>
      </w:pPr>
      <w:r>
        <w:rPr>
          <w:b/>
        </w:rPr>
        <w:t>Donner des clés de compréhension des interdépendances et des inégalités dans le monde ;</w:t>
        <w:br/>
      </w:r>
      <w:r>
        <w:rPr/>
        <w:t xml:space="preserve"> </w:t>
        <w:tab/>
        <w:tab/>
        <w:t xml:space="preserve"> </w:t>
        <w:tab/>
        <w:tab/>
      </w:r>
    </w:p>
    <w:p>
      <w:pPr>
        <w:pStyle w:val="Normal1"/>
        <w:numPr>
          <w:ilvl w:val="0"/>
          <w:numId w:val="7"/>
        </w:numPr>
        <w:spacing w:lineRule="auto" w:line="240" w:beforeAutospacing="0" w:before="0" w:afterAutospacing="0" w:after="0"/>
        <w:ind w:left="720" w:hanging="360"/>
        <w:jc w:val="both"/>
        <w:rPr/>
      </w:pPr>
      <w:r>
        <w:rPr>
          <w:b/>
        </w:rPr>
        <w:t>Explorer la dimension internationale du développement durable en se référant aux</w:t>
      </w:r>
      <w:hyperlink r:id="rId14">
        <w:r>
          <w:rPr>
            <w:b/>
          </w:rPr>
          <w:t xml:space="preserve"> </w:t>
        </w:r>
      </w:hyperlink>
      <w:hyperlink r:id="rId15">
        <w:r>
          <w:rPr>
            <w:b/>
            <w:color w:val="1155CC"/>
            <w:u w:val="single"/>
          </w:rPr>
          <w:t>ODD</w:t>
        </w:r>
      </w:hyperlink>
      <w:r>
        <w:rPr>
          <w:b/>
        </w:rPr>
        <w:t xml:space="preserve"> ;</w:t>
        <w:br/>
      </w:r>
      <w:r>
        <w:rPr/>
        <w:t xml:space="preserve"> </w:t>
        <w:tab/>
        <w:tab/>
        <w:t xml:space="preserve"> </w:t>
        <w:tab/>
        <w:tab/>
      </w:r>
    </w:p>
    <w:p>
      <w:pPr>
        <w:pStyle w:val="Normal1"/>
        <w:numPr>
          <w:ilvl w:val="0"/>
          <w:numId w:val="7"/>
        </w:numPr>
        <w:spacing w:lineRule="auto" w:line="240" w:beforeAutospacing="0" w:before="0" w:afterAutospacing="0" w:after="0"/>
        <w:ind w:left="720" w:hanging="360"/>
        <w:jc w:val="both"/>
        <w:rPr/>
      </w:pPr>
      <w:r>
        <w:rPr>
          <w:b/>
        </w:rPr>
        <w:t>Favoriser l’engagement des jeunes par un contact direct avec les acteurs de terrain ;</w:t>
        <w:br/>
      </w:r>
      <w:r>
        <w:rPr/>
        <w:t xml:space="preserve"> </w:t>
        <w:tab/>
        <w:tab/>
        <w:t xml:space="preserve"> </w:t>
        <w:tab/>
        <w:tab/>
      </w:r>
    </w:p>
    <w:p>
      <w:pPr>
        <w:pStyle w:val="Normal1"/>
        <w:numPr>
          <w:ilvl w:val="0"/>
          <w:numId w:val="7"/>
        </w:numPr>
        <w:spacing w:lineRule="auto" w:line="240" w:beforeAutospacing="0" w:before="0" w:after="240"/>
        <w:ind w:left="720" w:hanging="360"/>
        <w:jc w:val="both"/>
        <w:rPr/>
      </w:pPr>
      <w:r>
        <w:rPr>
          <w:b/>
        </w:rPr>
        <w:t>Renforcer durablement les partenariats entre les acteurs de la coopération et de la solidarité internationale et les acteurs de l’éducation.</w:t>
      </w:r>
      <w:r>
        <w:rPr>
          <w:b/>
          <w:sz w:val="24"/>
          <w:szCs w:val="24"/>
        </w:rPr>
        <w:br/>
      </w:r>
      <w:r>
        <w:rPr/>
        <w:t xml:space="preserve"> </w:t>
        <w:tab/>
      </w:r>
    </w:p>
    <w:p>
      <w:pPr>
        <w:pStyle w:val="Normal1"/>
        <w:spacing w:lineRule="auto" w:line="254" w:before="240" w:after="0"/>
        <w:ind w:right="120" w:hanging="0"/>
        <w:jc w:val="both"/>
        <w:rPr/>
      </w:pPr>
      <w:r>
        <w:rPr>
          <w:b/>
        </w:rPr>
        <w:t>Un comité de pilotage</w:t>
      </w:r>
      <w:r>
        <w:rPr/>
        <w:t xml:space="preserve">, composé de membres de RBS </w:t>
      </w:r>
      <w:r>
        <w:rPr>
          <w:b/>
        </w:rPr>
        <w:t xml:space="preserve">assure l’animation </w:t>
      </w:r>
      <w:r>
        <w:rPr/>
        <w:t>du dispositif dans son ensemble. Il se chargera de mobiliser un comité externe pour l’instruction des dossiers déposés.</w:t>
      </w:r>
    </w:p>
    <w:p>
      <w:pPr>
        <w:pStyle w:val="Normal1"/>
        <w:spacing w:lineRule="auto" w:line="240" w:before="240" w:after="0"/>
        <w:ind w:right="120" w:hanging="0"/>
        <w:jc w:val="both"/>
        <w:rPr/>
      </w:pPr>
      <w:r>
        <w:rPr/>
        <w:drawing>
          <wp:anchor behindDoc="0" distT="0" distB="0" distL="0" distR="0" simplePos="0" locked="0" layoutInCell="0" allowOverlap="1" relativeHeight="3">
            <wp:simplePos x="0" y="0"/>
            <wp:positionH relativeFrom="column">
              <wp:posOffset>438785</wp:posOffset>
            </wp:positionH>
            <wp:positionV relativeFrom="paragraph">
              <wp:posOffset>225425</wp:posOffset>
            </wp:positionV>
            <wp:extent cx="4643120" cy="3093085"/>
            <wp:effectExtent l="0" t="0" r="0" b="0"/>
            <wp:wrapNone/>
            <wp:docPr id="8"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descr=""/>
                    <pic:cNvPicPr>
                      <a:picLocks noChangeAspect="1" noChangeArrowheads="1"/>
                    </pic:cNvPicPr>
                  </pic:nvPicPr>
                  <pic:blipFill>
                    <a:blip r:embed="rId16"/>
                    <a:stretch>
                      <a:fillRect/>
                    </a:stretch>
                  </pic:blipFill>
                  <pic:spPr bwMode="auto">
                    <a:xfrm>
                      <a:off x="0" y="0"/>
                      <a:ext cx="4643120" cy="3093085"/>
                    </a:xfrm>
                    <a:prstGeom prst="rect">
                      <a:avLst/>
                    </a:prstGeom>
                  </pic:spPr>
                </pic:pic>
              </a:graphicData>
            </a:graphic>
          </wp:anchor>
        </w:drawing>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r>
    </w:p>
    <w:p>
      <w:pPr>
        <w:pStyle w:val="Normal1"/>
        <w:rPr/>
      </w:pPr>
      <w:r>
        <w:rPr/>
        <w:tab/>
        <w:br/>
      </w:r>
    </w:p>
    <w:p>
      <w:pPr>
        <w:pStyle w:val="Normal1"/>
        <w:rPr>
          <w:b/>
          <w:b/>
          <w:color w:val="009999"/>
          <w:sz w:val="28"/>
          <w:szCs w:val="28"/>
        </w:rPr>
      </w:pPr>
      <w:r>
        <w:rPr>
          <w:b/>
          <w:color w:val="1AD9D9"/>
          <w:sz w:val="28"/>
          <w:szCs w:val="28"/>
        </w:rPr>
        <w:t xml:space="preserve">III </w:t>
        <w:tab/>
        <w:t>CRITÈRES D’ÉLIGIBILITÉ DES PROJETS</w:t>
      </w:r>
      <w:r>
        <w:rPr>
          <w:b/>
          <w:color w:val="009999"/>
          <w:sz w:val="28"/>
          <w:szCs w:val="28"/>
        </w:rPr>
        <w:br/>
      </w:r>
    </w:p>
    <w:p>
      <w:pPr>
        <w:pStyle w:val="Normal1"/>
        <w:rPr>
          <w:b/>
          <w:b/>
          <w:i/>
          <w:i/>
          <w:color w:val="1155CC"/>
        </w:rPr>
      </w:pPr>
      <w:r>
        <w:rPr>
          <w:b/>
          <w:i/>
          <w:color w:val="1155CC"/>
        </w:rPr>
        <w:t>A qui s’adresse cet appel à projet ?</w:t>
      </w:r>
    </w:p>
    <w:p>
      <w:pPr>
        <w:pStyle w:val="Normal1"/>
        <w:numPr>
          <w:ilvl w:val="0"/>
          <w:numId w:val="4"/>
        </w:numPr>
        <w:spacing w:lineRule="auto" w:line="240" w:before="240" w:afterAutospacing="0" w:after="0"/>
        <w:ind w:left="720" w:hanging="360"/>
        <w:jc w:val="both"/>
        <w:rPr/>
      </w:pPr>
      <w:r>
        <w:rPr/>
        <w:t>Tous les acteurs bretons de la coopération et de la solidarité internationale (association loi 1901, syndicat de droit français, fondation française, consortium multi-acteurs) associé à un acteur éducatif de l’éducation formelle ou non formelle (exemple : établissement scolaire, maison de quartier, club de sport, collectivité territoriale, médiathèque)</w:t>
        <w:tab/>
      </w:r>
    </w:p>
    <w:p>
      <w:pPr>
        <w:pStyle w:val="Normal1"/>
        <w:numPr>
          <w:ilvl w:val="0"/>
          <w:numId w:val="4"/>
        </w:numPr>
        <w:spacing w:lineRule="auto" w:line="240" w:beforeAutospacing="0" w:before="0" w:afterAutospacing="0" w:after="0"/>
        <w:ind w:left="720" w:hanging="360"/>
        <w:jc w:val="both"/>
        <w:rPr/>
      </w:pPr>
      <w:r>
        <w:rPr/>
        <w:t>La structure doit avoir une existence légale en Bretagne ;</w:t>
      </w:r>
      <w:r>
        <w:rPr>
          <w:b/>
        </w:rPr>
        <w:t xml:space="preserve"> </w:t>
      </w:r>
    </w:p>
    <w:p>
      <w:pPr>
        <w:pStyle w:val="Normal1"/>
        <w:numPr>
          <w:ilvl w:val="0"/>
          <w:numId w:val="4"/>
        </w:numPr>
        <w:spacing w:lineRule="auto" w:line="240" w:beforeAutospacing="0" w:before="0" w:afterAutospacing="0" w:after="0"/>
        <w:ind w:left="720" w:hanging="360"/>
        <w:jc w:val="both"/>
        <w:rPr/>
      </w:pPr>
      <w:r>
        <w:rPr/>
        <w:t xml:space="preserve">Il n’y a pas d’obligation concernant l’ancienneté de la structure; </w:t>
        <w:tab/>
      </w:r>
    </w:p>
    <w:p>
      <w:pPr>
        <w:pStyle w:val="Normal1"/>
        <w:numPr>
          <w:ilvl w:val="0"/>
          <w:numId w:val="4"/>
        </w:numPr>
        <w:spacing w:lineRule="auto" w:line="240" w:beforeAutospacing="0" w:before="0" w:afterAutospacing="0" w:after="0"/>
        <w:ind w:left="720" w:hanging="360"/>
        <w:jc w:val="both"/>
        <w:rPr/>
      </w:pPr>
      <w:r>
        <w:rPr/>
        <w:t>Le projet doit avoir lieu dans l’année en cours (2023) ;</w:t>
      </w:r>
    </w:p>
    <w:p>
      <w:pPr>
        <w:pStyle w:val="Normal1"/>
        <w:numPr>
          <w:ilvl w:val="0"/>
          <w:numId w:val="4"/>
        </w:numPr>
        <w:spacing w:lineRule="auto" w:line="240" w:beforeAutospacing="0" w:before="0" w:after="240"/>
        <w:ind w:left="720" w:hanging="360"/>
        <w:jc w:val="both"/>
        <w:rPr/>
      </w:pPr>
      <w:r>
        <w:rPr/>
        <w:t>Le projet doit se dérouler sur le territoire breton.</w:t>
      </w:r>
    </w:p>
    <w:p>
      <w:pPr>
        <w:pStyle w:val="Titre1"/>
        <w:keepNext w:val="false"/>
        <w:keepLines w:val="false"/>
        <w:spacing w:lineRule="auto" w:line="240" w:before="480" w:after="120"/>
        <w:rPr>
          <w:b/>
          <w:b/>
          <w:i/>
          <w:i/>
          <w:color w:val="1155CC"/>
          <w:sz w:val="22"/>
          <w:szCs w:val="22"/>
        </w:rPr>
      </w:pPr>
      <w:bookmarkStart w:id="0" w:name="_s2hxu0mclun6"/>
      <w:bookmarkEnd w:id="0"/>
      <w:r>
        <w:rPr>
          <w:b/>
          <w:i/>
          <w:color w:val="1155CC"/>
          <w:sz w:val="22"/>
          <w:szCs w:val="22"/>
        </w:rPr>
        <w:t>Le processus pédagogique souhaité :</w:t>
      </w:r>
    </w:p>
    <w:p>
      <w:pPr>
        <w:pStyle w:val="Titre1"/>
        <w:keepNext w:val="false"/>
        <w:keepLines w:val="false"/>
        <w:spacing w:lineRule="auto" w:line="240" w:before="480" w:after="120"/>
        <w:jc w:val="both"/>
        <w:rPr>
          <w:sz w:val="22"/>
          <w:szCs w:val="22"/>
        </w:rPr>
      </w:pPr>
      <w:bookmarkStart w:id="1" w:name="_ei6s5tbwmu13"/>
      <w:bookmarkEnd w:id="1"/>
      <w:r>
        <w:rPr>
          <w:sz w:val="22"/>
          <w:szCs w:val="22"/>
        </w:rPr>
        <w:t>Le projet devra allier théorie et pratique (exemple : une animation et un éclairage sur les ODD).</w:t>
      </w:r>
    </w:p>
    <w:p>
      <w:pPr>
        <w:pStyle w:val="Titre1"/>
        <w:keepNext w:val="false"/>
        <w:keepLines w:val="false"/>
        <w:spacing w:lineRule="auto" w:line="240" w:before="480" w:after="120"/>
        <w:jc w:val="both"/>
        <w:rPr>
          <w:sz w:val="22"/>
          <w:szCs w:val="22"/>
        </w:rPr>
      </w:pPr>
      <w:bookmarkStart w:id="2" w:name="_170nq49irg37"/>
      <w:bookmarkEnd w:id="2"/>
      <w:r>
        <w:rPr>
          <w:b/>
          <w:sz w:val="22"/>
          <w:szCs w:val="22"/>
        </w:rPr>
        <w:t xml:space="preserve">Le jury sera particulièrement vigilant à bien retrouver dans le dossier de candidature un ou plusieurs éléments notés ci-dessous </w:t>
      </w:r>
      <w:r>
        <w:rPr>
          <w:sz w:val="22"/>
          <w:szCs w:val="22"/>
        </w:rPr>
        <w:t xml:space="preserve"> :</w:t>
      </w:r>
    </w:p>
    <w:p>
      <w:pPr>
        <w:pStyle w:val="Normal1"/>
        <w:numPr>
          <w:ilvl w:val="0"/>
          <w:numId w:val="8"/>
        </w:numPr>
        <w:spacing w:lineRule="auto" w:line="240" w:before="240" w:afterAutospacing="0" w:after="0"/>
        <w:ind w:left="720" w:hanging="360"/>
        <w:jc w:val="both"/>
        <w:rPr/>
      </w:pPr>
      <w:r>
        <w:rPr/>
        <w:t>un projet qui permette d’informer sur les ODD, de questionner les représentations et les préjugés, de sensibiliser les jeunes aux inégalités mondiales, aux interdépendances entre le local et l’international et de faire découvrir des moyens d’agir ;</w:t>
      </w:r>
    </w:p>
    <w:p>
      <w:pPr>
        <w:pStyle w:val="Normal1"/>
        <w:numPr>
          <w:ilvl w:val="0"/>
          <w:numId w:val="8"/>
        </w:numPr>
        <w:spacing w:lineRule="auto" w:line="240" w:beforeAutospacing="0" w:before="0" w:afterAutospacing="0" w:after="0"/>
        <w:ind w:left="720" w:hanging="360"/>
        <w:jc w:val="both"/>
        <w:rPr/>
      </w:pPr>
      <w:r>
        <w:rPr/>
        <w:t>un projet qui véhicule une vision positive de la coopération et/ou de la solidarité internationale où l’on apprend de l’autre ;</w:t>
      </w:r>
    </w:p>
    <w:p>
      <w:pPr>
        <w:pStyle w:val="Normal1"/>
        <w:numPr>
          <w:ilvl w:val="0"/>
          <w:numId w:val="8"/>
        </w:numPr>
        <w:spacing w:lineRule="auto" w:line="240" w:beforeAutospacing="0" w:before="0" w:afterAutospacing="0" w:after="0"/>
        <w:ind w:left="720" w:hanging="360"/>
        <w:jc w:val="both"/>
        <w:rPr/>
      </w:pPr>
      <w:r>
        <w:rPr/>
        <w:t>un projet qui valorise l’interculturalité ;</w:t>
      </w:r>
    </w:p>
    <w:p>
      <w:pPr>
        <w:pStyle w:val="Normal1"/>
        <w:numPr>
          <w:ilvl w:val="0"/>
          <w:numId w:val="8"/>
        </w:numPr>
        <w:spacing w:lineRule="auto" w:line="240" w:beforeAutospacing="0" w:before="0" w:afterAutospacing="0" w:after="0"/>
        <w:ind w:left="720" w:hanging="360"/>
        <w:jc w:val="both"/>
        <w:rPr/>
      </w:pPr>
      <w:r>
        <w:rPr/>
        <w:t>un projet d’échanges à distance avec des jeunes à l’international dans un esprit de réciprocité (types : tandem solidaire entre deux acteurs, échange scolaire etc)</w:t>
        <w:tab/>
      </w:r>
    </w:p>
    <w:p>
      <w:pPr>
        <w:pStyle w:val="Normal1"/>
        <w:numPr>
          <w:ilvl w:val="0"/>
          <w:numId w:val="8"/>
        </w:numPr>
        <w:spacing w:lineRule="auto" w:line="240" w:beforeAutospacing="0" w:before="0" w:afterAutospacing="0" w:after="0"/>
        <w:ind w:left="720" w:hanging="360"/>
        <w:jc w:val="both"/>
        <w:rPr/>
      </w:pPr>
      <w:r>
        <w:rPr/>
        <w:t xml:space="preserve">des outils d’animation pédagogiques, participatifs et adaptés à l’âge du groupe qui permettent aux jeunes d’êtres acteurs de leurs apprentissages ; </w:t>
        <w:tab/>
        <w:t xml:space="preserve"> </w:t>
        <w:tab/>
      </w:r>
    </w:p>
    <w:p>
      <w:pPr>
        <w:pStyle w:val="Normal1"/>
        <w:numPr>
          <w:ilvl w:val="0"/>
          <w:numId w:val="8"/>
        </w:numPr>
        <w:spacing w:lineRule="auto" w:line="240" w:beforeAutospacing="0" w:before="0" w:after="240"/>
        <w:ind w:left="720" w:hanging="360"/>
        <w:rPr/>
      </w:pPr>
      <w:r>
        <w:rPr/>
        <w:t>un projet qui intègre un outil d’évaluation simple et laissé au choix de chacun permettant de mesurer l’impact du projet.</w:t>
      </w:r>
    </w:p>
    <w:p>
      <w:pPr>
        <w:pStyle w:val="Titre1"/>
        <w:keepNext w:val="false"/>
        <w:keepLines w:val="false"/>
        <w:spacing w:lineRule="auto" w:line="240" w:before="480" w:after="120"/>
        <w:jc w:val="both"/>
        <w:rPr>
          <w:b/>
          <w:b/>
          <w:i/>
          <w:i/>
          <w:color w:val="1155CC"/>
          <w:sz w:val="22"/>
          <w:szCs w:val="22"/>
        </w:rPr>
      </w:pPr>
      <w:bookmarkStart w:id="3" w:name="_bbus9m7gqudr"/>
      <w:bookmarkEnd w:id="3"/>
      <w:r>
        <w:rPr>
          <w:b/>
          <w:i/>
          <w:color w:val="1155CC"/>
          <w:sz w:val="22"/>
          <w:szCs w:val="22"/>
        </w:rPr>
        <w:t>Ne sont pas éligibles :</w:t>
      </w:r>
    </w:p>
    <w:p>
      <w:pPr>
        <w:pStyle w:val="Normal1"/>
        <w:numPr>
          <w:ilvl w:val="0"/>
          <w:numId w:val="10"/>
        </w:numPr>
        <w:spacing w:lineRule="auto" w:line="240" w:before="240" w:afterAutospacing="0" w:after="0"/>
        <w:ind w:left="720" w:hanging="360"/>
        <w:jc w:val="both"/>
        <w:rPr/>
      </w:pPr>
      <w:r>
        <w:rPr/>
        <w:t>Les projets de solidarité internationale auprès des populations partenaires, les collectes de fonds ;</w:t>
      </w:r>
    </w:p>
    <w:p>
      <w:pPr>
        <w:pStyle w:val="Normal1"/>
        <w:numPr>
          <w:ilvl w:val="0"/>
          <w:numId w:val="10"/>
        </w:numPr>
        <w:spacing w:lineRule="auto" w:line="240" w:beforeAutospacing="0" w:before="0" w:after="240"/>
        <w:ind w:left="720" w:hanging="360"/>
        <w:jc w:val="both"/>
        <w:rPr>
          <w:u w:val="none"/>
        </w:rPr>
      </w:pPr>
      <w:r>
        <w:rPr/>
        <w:t xml:space="preserve">Les projets éducatifs focalisés sur une problématique locale, sans lien avec l’international ; </w:t>
        <w:tab/>
      </w:r>
    </w:p>
    <w:p>
      <w:pPr>
        <w:pStyle w:val="Normal1"/>
        <w:spacing w:lineRule="auto" w:line="240" w:before="240" w:after="240"/>
        <w:jc w:val="both"/>
        <w:rPr/>
      </w:pPr>
      <w:r>
        <w:rPr>
          <w:b/>
        </w:rPr>
        <w:t>Secteurs non éligibles</w:t>
      </w:r>
      <w:r>
        <w:rPr/>
        <w:t xml:space="preserve"> : échanges universitaires et scientifiques, échanges de jeunes,archéologie, francophonie.</w:t>
      </w:r>
    </w:p>
    <w:p>
      <w:pPr>
        <w:pStyle w:val="Normal1"/>
        <w:spacing w:lineRule="auto" w:line="240" w:before="240" w:after="240"/>
        <w:jc w:val="both"/>
        <w:rPr/>
      </w:pPr>
      <w:r>
        <w:rPr>
          <w:b/>
        </w:rPr>
        <w:t>Projets non éligibles</w:t>
      </w:r>
      <w:r>
        <w:rPr/>
        <w:t xml:space="preserve"> : projet de création d’une OSC</w:t>
      </w:r>
      <w:r>
        <w:rPr>
          <w:rStyle w:val="Ancredenotedebasdepage"/>
          <w:vertAlign w:val="superscript"/>
        </w:rPr>
        <w:footnoteReference w:id="3"/>
      </w:r>
      <w:r>
        <w:rPr/>
        <w:t xml:space="preserve"> au Nord ; projet visant la prise en charge du fonctionnement d’une OSC au Nord ; projet d’études ou de recherches, quand le projet ne présente que ce type d’activités ou quand il est entièrement construit autour de ce type d’activités ; évaluations seules projet d’offre ou programme de formation, quand le projet ne présente que ce type d’activités ou quand il est entièrement construit autour de ce type d’activités ; voyage individuel ou de groupe des membres de l’OSC ; projet de prise en charge de moyens logistiques (transports, containers,véhicules, etc.) ; projet d’envoi de matériels (médicaments, livres, etc.) ou de collectes privées ; projet intégrant des activités de construction, de réhabilitation d’infrastructures ou de gros équipements représentant plus de 40 % du budget prévisionnel du projet (sauf contexte dûment justifié) ; projet visant l’organisation de colloques et séminaires, quand le projet ne présente que ce type d’activités ou quand il est entièrement construit autour de ce type d’activités ; opération ponctuelle d’urgence et projet de volontariat, qui relèvent du MEAE</w:t>
      </w:r>
      <w:r>
        <w:rPr>
          <w:rStyle w:val="Ancredenotedebasdepage"/>
          <w:vertAlign w:val="superscript"/>
        </w:rPr>
        <w:footnoteReference w:id="4"/>
      </w:r>
      <w:r>
        <w:rPr/>
        <w:t xml:space="preserve"> ; publication ou projet éditorial, quand le projet ne présente que ce type d’activités ou quand il est entièrement construit autour de ce type d’activités ; les actions ponctuelles ne peuvent être soutenues sauf si elles sont intégrées dans des processus et des programmes d’action plus globaux.</w:t>
      </w:r>
    </w:p>
    <w:p>
      <w:pPr>
        <w:pStyle w:val="Titre1"/>
        <w:keepNext w:val="false"/>
        <w:keepLines w:val="false"/>
        <w:spacing w:lineRule="auto" w:line="240" w:before="480" w:after="120"/>
        <w:rPr>
          <w:b/>
          <w:b/>
          <w:color w:val="1AD9D9"/>
          <w:sz w:val="26"/>
          <w:szCs w:val="26"/>
        </w:rPr>
      </w:pPr>
      <w:bookmarkStart w:id="4" w:name="_75nw7pvmwwd3"/>
      <w:bookmarkEnd w:id="4"/>
      <w:r>
        <w:rPr>
          <w:b/>
          <w:color w:val="1AD9D9"/>
          <w:sz w:val="26"/>
          <w:szCs w:val="26"/>
        </w:rPr>
        <w:t>IV. FONCTIONNEMENT DE « SOLIDAIRES PLURIELS »</w:t>
      </w:r>
    </w:p>
    <w:p>
      <w:pPr>
        <w:pStyle w:val="Titre1"/>
        <w:keepNext w:val="false"/>
        <w:keepLines w:val="false"/>
        <w:spacing w:lineRule="auto" w:line="240" w:before="480" w:after="120"/>
        <w:rPr>
          <w:b/>
          <w:b/>
          <w:color w:val="1155CC"/>
          <w:sz w:val="26"/>
          <w:szCs w:val="26"/>
        </w:rPr>
      </w:pPr>
      <w:bookmarkStart w:id="5" w:name="_qd88qbqgfs07"/>
      <w:bookmarkEnd w:id="5"/>
      <w:r>
        <w:rPr>
          <w:b/>
          <w:color w:val="1155CC"/>
          <w:sz w:val="26"/>
          <w:szCs w:val="26"/>
        </w:rPr>
        <w:t>1) Dotations</w:t>
      </w:r>
    </w:p>
    <w:p>
      <w:pPr>
        <w:pStyle w:val="Normal1"/>
        <w:numPr>
          <w:ilvl w:val="0"/>
          <w:numId w:val="9"/>
        </w:numPr>
        <w:spacing w:lineRule="auto" w:line="240" w:before="240" w:afterAutospacing="0" w:after="0"/>
        <w:ind w:left="720" w:hanging="360"/>
        <w:jc w:val="both"/>
        <w:rPr/>
      </w:pPr>
      <w:r>
        <w:rPr/>
        <w:t>La dotation « Solidaire pluriels » ne peut être inférieure à 500€ ni supérieure à 3000€ ;</w:t>
      </w:r>
    </w:p>
    <w:p>
      <w:pPr>
        <w:pStyle w:val="Normal1"/>
        <w:numPr>
          <w:ilvl w:val="0"/>
          <w:numId w:val="9"/>
        </w:numPr>
        <w:spacing w:lineRule="auto" w:line="240" w:beforeAutospacing="0" w:before="0" w:afterAutospacing="0" w:after="0"/>
        <w:ind w:left="720" w:hanging="360"/>
        <w:jc w:val="both"/>
        <w:rPr/>
      </w:pPr>
      <w:r>
        <w:rPr/>
        <w:t xml:space="preserve">Le dispositif “Solidaires pluriels” peut soutenir les projets jusqu’à hauteur de 70% du budget prévisionnel. Les 30% restant peuvent être financés par : </w:t>
      </w:r>
    </w:p>
    <w:p>
      <w:pPr>
        <w:pStyle w:val="Normal1"/>
        <w:numPr>
          <w:ilvl w:val="0"/>
          <w:numId w:val="1"/>
        </w:numPr>
        <w:spacing w:lineRule="auto" w:line="240" w:beforeAutospacing="0" w:before="0" w:afterAutospacing="0" w:after="0"/>
        <w:ind w:left="1440" w:hanging="360"/>
        <w:jc w:val="both"/>
        <w:rPr>
          <w:u w:val="none"/>
        </w:rPr>
      </w:pPr>
      <w:r>
        <w:rPr/>
        <w:t>d’autres financements complémentaires (fonds propres ou cofinancements)</w:t>
      </w:r>
    </w:p>
    <w:p>
      <w:pPr>
        <w:pStyle w:val="Normal1"/>
        <w:numPr>
          <w:ilvl w:val="0"/>
          <w:numId w:val="1"/>
        </w:numPr>
        <w:spacing w:lineRule="auto" w:line="240" w:beforeAutospacing="0" w:before="0" w:afterAutospacing="0" w:after="0"/>
        <w:ind w:left="1440" w:hanging="360"/>
        <w:jc w:val="both"/>
        <w:rPr>
          <w:u w:val="none"/>
        </w:rPr>
      </w:pPr>
      <w:r>
        <w:rPr/>
        <w:t>une valorisation de temps bénévole et de mise à disposition de biens et services</w:t>
      </w:r>
      <w:r>
        <w:rPr>
          <w:rStyle w:val="Ancredenotedebasdepage"/>
          <w:vertAlign w:val="superscript"/>
        </w:rPr>
        <w:footnoteReference w:id="5"/>
      </w:r>
      <w:r>
        <w:rPr/>
        <w:br/>
        <w:t xml:space="preserve"> </w:t>
        <w:tab/>
      </w:r>
    </w:p>
    <w:p>
      <w:pPr>
        <w:pStyle w:val="Normal1"/>
        <w:numPr>
          <w:ilvl w:val="0"/>
          <w:numId w:val="9"/>
        </w:numPr>
        <w:spacing w:lineRule="auto" w:line="240" w:beforeAutospacing="0" w:before="0" w:afterAutospacing="0" w:after="0"/>
        <w:ind w:left="720" w:hanging="360"/>
        <w:jc w:val="both"/>
        <w:rPr/>
      </w:pPr>
      <w:r>
        <w:rPr/>
        <w:t xml:space="preserve">Une somme forfaitaire de 10 % maximum du budget total peut être affectée aux coûts indirects. </w:t>
        <w:br/>
        <w:t xml:space="preserve"> </w:t>
        <w:tab/>
      </w:r>
    </w:p>
    <w:p>
      <w:pPr>
        <w:pStyle w:val="Normal1"/>
        <w:numPr>
          <w:ilvl w:val="0"/>
          <w:numId w:val="9"/>
        </w:numPr>
        <w:spacing w:lineRule="auto" w:line="240" w:beforeAutospacing="0" w:before="0" w:afterAutospacing="0" w:after="0"/>
        <w:ind w:left="720" w:hanging="360"/>
        <w:jc w:val="both"/>
        <w:rPr/>
      </w:pPr>
      <w:r>
        <w:rPr/>
        <w:t xml:space="preserve">Si le projet comporte des déplacements à l’international, ils devront être pris en charge par un co-financement ; </w:t>
        <w:tab/>
        <w:t xml:space="preserve"> </w:t>
        <w:tab/>
        <w:br/>
        <w:t xml:space="preserve"> </w:t>
        <w:tab/>
      </w:r>
    </w:p>
    <w:p>
      <w:pPr>
        <w:pStyle w:val="Normal1"/>
        <w:numPr>
          <w:ilvl w:val="0"/>
          <w:numId w:val="9"/>
        </w:numPr>
        <w:spacing w:lineRule="auto" w:line="240" w:beforeAutospacing="0" w:before="0" w:after="240"/>
        <w:ind w:left="720" w:hanging="360"/>
        <w:jc w:val="both"/>
        <w:rPr/>
      </w:pPr>
      <w:r>
        <w:rPr/>
        <w:t xml:space="preserve">Un premier versement de 70 % sera effectué à la signature de la convention sur le compte bancaire du porteur de projet et le solde après réception des bilans techniques et financiers (comprenant les pièces comptables justificatives) au prorata temporis des dépenses consommées et justifiées. </w:t>
      </w:r>
    </w:p>
    <w:p>
      <w:pPr>
        <w:pStyle w:val="Normal1"/>
        <w:numPr>
          <w:ilvl w:val="0"/>
          <w:numId w:val="9"/>
        </w:numPr>
        <w:spacing w:lineRule="auto" w:line="240" w:before="240" w:after="240"/>
        <w:ind w:left="720" w:hanging="360"/>
        <w:jc w:val="both"/>
        <w:rPr>
          <w:u w:val="none"/>
        </w:rPr>
      </w:pPr>
      <w:r>
        <w:rPr/>
        <w:t>La dotation pourra couvrir les dépenses à partir de la notification jusqu’au 31 décembre 2023.</w:t>
      </w:r>
    </w:p>
    <w:p>
      <w:pPr>
        <w:pStyle w:val="Normal1"/>
        <w:spacing w:lineRule="auto" w:line="240" w:before="240" w:after="240"/>
        <w:ind w:left="0" w:hanging="0"/>
        <w:jc w:val="both"/>
        <w:rPr/>
      </w:pPr>
      <w:r>
        <w:rPr/>
      </w:r>
    </w:p>
    <w:p>
      <w:pPr>
        <w:pStyle w:val="Normal1"/>
        <w:spacing w:lineRule="auto" w:line="240" w:before="240" w:after="240"/>
        <w:rPr>
          <w:b/>
          <w:b/>
          <w:color w:val="1155CC"/>
          <w:sz w:val="26"/>
          <w:szCs w:val="26"/>
        </w:rPr>
      </w:pPr>
      <w:r>
        <w:rPr>
          <w:b/>
          <w:color w:val="1155CC"/>
          <w:sz w:val="26"/>
          <w:szCs w:val="26"/>
        </w:rPr>
        <w:t>2) Engagement des acteurs</w:t>
      </w:r>
    </w:p>
    <w:p>
      <w:pPr>
        <w:pStyle w:val="Normal1"/>
        <w:spacing w:lineRule="auto" w:line="240" w:before="240" w:after="240"/>
        <w:rPr/>
      </w:pPr>
      <w:r>
        <w:rPr/>
        <w:t>Les acteurs du dispositif s’engagent à :</w:t>
      </w:r>
    </w:p>
    <w:p>
      <w:pPr>
        <w:pStyle w:val="Normal1"/>
        <w:numPr>
          <w:ilvl w:val="0"/>
          <w:numId w:val="6"/>
        </w:numPr>
        <w:spacing w:lineRule="auto" w:line="240" w:before="240" w:afterAutospacing="0" w:after="0"/>
        <w:ind w:left="720" w:hanging="360"/>
        <w:jc w:val="both"/>
        <w:rPr/>
      </w:pPr>
      <w:r>
        <w:rPr/>
        <w:t>Se référencer dans l’</w:t>
      </w:r>
      <w:hyperlink r:id="rId17">
        <w:r>
          <w:rPr>
            <w:color w:val="1155CC"/>
            <w:u w:val="single"/>
          </w:rPr>
          <w:t>annuaire régional</w:t>
        </w:r>
      </w:hyperlink>
      <w:r>
        <w:rPr/>
        <w:t xml:space="preserve"> de la coopération et de la solidarité internationale du Réseau Bretagne Solidaire. </w:t>
        <w:tab/>
        <w:tab/>
        <w:tab/>
        <w:br/>
        <w:t xml:space="preserve"> </w:t>
        <w:tab/>
        <w:tab/>
        <w:tab/>
      </w:r>
    </w:p>
    <w:p>
      <w:pPr>
        <w:pStyle w:val="Normal1"/>
        <w:numPr>
          <w:ilvl w:val="0"/>
          <w:numId w:val="6"/>
        </w:numPr>
        <w:spacing w:lineRule="auto" w:line="240" w:beforeAutospacing="0" w:before="0" w:afterAutospacing="0" w:after="0"/>
        <w:ind w:left="720" w:hanging="360"/>
        <w:jc w:val="both"/>
        <w:rPr/>
      </w:pPr>
      <w:r>
        <w:rPr/>
        <w:t xml:space="preserve">Participer à une séance de formation départementale </w:t>
      </w:r>
      <w:r>
        <w:rPr>
          <w:u w:val="single"/>
        </w:rPr>
        <w:t>gratuite et obligatoire</w:t>
      </w:r>
      <w:r>
        <w:rPr/>
        <w:t xml:space="preserve"> afin de préparer au mieux la transmission pédagogique.</w:t>
        <w:br/>
        <w:t xml:space="preserve"> </w:t>
        <w:tab/>
        <w:tab/>
        <w:tab/>
      </w:r>
    </w:p>
    <w:p>
      <w:pPr>
        <w:pStyle w:val="Normal1"/>
        <w:numPr>
          <w:ilvl w:val="0"/>
          <w:numId w:val="6"/>
        </w:numPr>
        <w:spacing w:lineRule="auto" w:line="240" w:beforeAutospacing="0" w:before="0" w:afterAutospacing="0" w:after="0"/>
        <w:ind w:left="720" w:hanging="360"/>
        <w:jc w:val="both"/>
        <w:rPr/>
      </w:pPr>
      <w:r>
        <w:rPr/>
        <w:t>Participer à une journée régionale d’échange de pratiques et d’expérience et de valorisation des projets. Un forfait de défraiement sera proposé aux acteurs inscrits et présents ;</w:t>
        <w:br/>
        <w:t xml:space="preserve"> </w:t>
        <w:tab/>
        <w:tab/>
        <w:tab/>
      </w:r>
    </w:p>
    <w:p>
      <w:pPr>
        <w:pStyle w:val="Normal1"/>
        <w:numPr>
          <w:ilvl w:val="0"/>
          <w:numId w:val="6"/>
        </w:numPr>
        <w:spacing w:lineRule="auto" w:line="240" w:beforeAutospacing="0" w:before="0" w:after="240"/>
        <w:ind w:left="720" w:hanging="360"/>
        <w:jc w:val="both"/>
        <w:rPr/>
      </w:pPr>
      <w:r>
        <w:rPr/>
        <w:t>Tout support pédagogique créé dans le cadre du projet fera l’objet d’une capitalisation sur une plateforme dédiée.</w:t>
      </w:r>
    </w:p>
    <w:p>
      <w:pPr>
        <w:pStyle w:val="Normal1"/>
        <w:spacing w:lineRule="auto" w:line="240" w:before="240" w:after="240"/>
        <w:ind w:left="720" w:hanging="0"/>
        <w:jc w:val="both"/>
        <w:rPr/>
      </w:pPr>
      <w:r>
        <w:rPr/>
        <w:tab/>
      </w:r>
    </w:p>
    <w:p>
      <w:pPr>
        <w:pStyle w:val="Normal1"/>
        <w:spacing w:lineRule="auto" w:line="240" w:before="240" w:after="240"/>
        <w:jc w:val="both"/>
        <w:rPr>
          <w:b/>
          <w:b/>
          <w:color w:val="1155CC"/>
          <w:sz w:val="26"/>
          <w:szCs w:val="26"/>
        </w:rPr>
      </w:pPr>
      <w:r>
        <w:rPr>
          <w:b/>
          <w:color w:val="1155CC"/>
          <w:sz w:val="26"/>
          <w:szCs w:val="26"/>
        </w:rPr>
        <w:drawing>
          <wp:anchor behindDoc="0" distT="0" distB="0" distL="0" distR="0" simplePos="0" locked="0" layoutInCell="0" allowOverlap="1" relativeHeight="2">
            <wp:simplePos x="0" y="0"/>
            <wp:positionH relativeFrom="column">
              <wp:posOffset>379730</wp:posOffset>
            </wp:positionH>
            <wp:positionV relativeFrom="paragraph">
              <wp:posOffset>474345</wp:posOffset>
            </wp:positionV>
            <wp:extent cx="4972050" cy="2381250"/>
            <wp:effectExtent l="0" t="0" r="0" b="0"/>
            <wp:wrapNone/>
            <wp:docPr id="9" name="image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png" descr=""/>
                    <pic:cNvPicPr>
                      <a:picLocks noChangeAspect="1" noChangeArrowheads="1"/>
                    </pic:cNvPicPr>
                  </pic:nvPicPr>
                  <pic:blipFill>
                    <a:blip r:embed="rId18"/>
                    <a:srcRect l="2912" t="24780" r="4944" b="19805"/>
                    <a:stretch>
                      <a:fillRect/>
                    </a:stretch>
                  </pic:blipFill>
                  <pic:spPr bwMode="auto">
                    <a:xfrm>
                      <a:off x="0" y="0"/>
                      <a:ext cx="4972050" cy="2381250"/>
                    </a:xfrm>
                    <a:prstGeom prst="rect">
                      <a:avLst/>
                    </a:prstGeom>
                  </pic:spPr>
                </pic:pic>
              </a:graphicData>
            </a:graphic>
          </wp:anchor>
        </w:drawing>
      </w:r>
      <w:r>
        <w:rPr>
          <w:b/>
          <w:color w:val="1155CC"/>
          <w:sz w:val="26"/>
          <w:szCs w:val="26"/>
        </w:rPr>
        <w:t>3) Calendrier</w:t>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b/>
          <w:color w:val="1155CC"/>
          <w:sz w:val="26"/>
          <w:szCs w:val="26"/>
        </w:rPr>
      </w:r>
    </w:p>
    <w:p>
      <w:pPr>
        <w:pStyle w:val="Normal1"/>
        <w:spacing w:lineRule="auto" w:line="240" w:before="240" w:after="240"/>
        <w:jc w:val="both"/>
        <w:rPr>
          <w:b/>
          <w:b/>
          <w:color w:val="1155CC"/>
          <w:sz w:val="26"/>
          <w:szCs w:val="26"/>
        </w:rPr>
      </w:pPr>
      <w:r>
        <w:rPr/>
      </w:r>
    </w:p>
    <w:p>
      <w:pPr>
        <w:pStyle w:val="Normal1"/>
        <w:spacing w:lineRule="auto" w:line="240" w:before="240" w:after="240"/>
        <w:jc w:val="both"/>
        <w:rPr>
          <w:b/>
          <w:b/>
          <w:color w:val="1155CC"/>
          <w:sz w:val="26"/>
          <w:szCs w:val="26"/>
        </w:rPr>
      </w:pPr>
      <w:r>
        <w:rPr>
          <w:b/>
          <w:color w:val="1155CC"/>
          <w:sz w:val="26"/>
          <w:szCs w:val="26"/>
        </w:rPr>
        <w:t>4) Modalités de candidature</w:t>
      </w:r>
    </w:p>
    <w:p>
      <w:pPr>
        <w:pStyle w:val="Normal1"/>
        <w:rPr/>
      </w:pPr>
      <w:r>
        <w:rPr/>
      </w:r>
    </w:p>
    <w:p>
      <w:pPr>
        <w:pStyle w:val="Normal1"/>
        <w:rPr/>
      </w:pPr>
      <w:r>
        <w:rPr>
          <w:u w:val="single"/>
        </w:rPr>
        <w:t xml:space="preserve">Liens utiles </w:t>
      </w:r>
      <w:r>
        <w:rPr/>
        <w:t xml:space="preserve"> : </w:t>
      </w:r>
    </w:p>
    <w:p>
      <w:pPr>
        <w:pStyle w:val="Normal1"/>
        <w:ind w:left="720" w:hanging="0"/>
        <w:rPr/>
      </w:pPr>
      <w:r>
        <w:rPr/>
      </w:r>
    </w:p>
    <w:p>
      <w:pPr>
        <w:pStyle w:val="Normal1"/>
        <w:numPr>
          <w:ilvl w:val="0"/>
          <w:numId w:val="3"/>
        </w:numPr>
        <w:ind w:left="720" w:hanging="360"/>
        <w:rPr>
          <w:u w:val="none"/>
        </w:rPr>
      </w:pPr>
      <w:r>
        <w:rPr/>
        <w:t xml:space="preserve">Exemples de </w:t>
      </w:r>
      <w:hyperlink r:id="rId19">
        <w:r>
          <w:rPr>
            <w:color w:val="1155CC"/>
            <w:u w:val="single"/>
          </w:rPr>
          <w:t>projets portés en région Bourgogne Franche-Comté</w:t>
        </w:r>
      </w:hyperlink>
      <w:r>
        <w:rPr/>
        <w:t xml:space="preserve"> ou en </w:t>
      </w:r>
      <w:hyperlink r:id="rId20">
        <w:r>
          <w:rPr>
            <w:color w:val="1155CC"/>
            <w:u w:val="single"/>
          </w:rPr>
          <w:t>Pays de Loire</w:t>
        </w:r>
      </w:hyperlink>
      <w:r>
        <w:rPr/>
        <w:t>.</w:t>
      </w:r>
    </w:p>
    <w:p>
      <w:pPr>
        <w:pStyle w:val="Normal1"/>
        <w:numPr>
          <w:ilvl w:val="0"/>
          <w:numId w:val="3"/>
        </w:numPr>
        <w:ind w:left="720" w:hanging="360"/>
        <w:rPr>
          <w:u w:val="none"/>
        </w:rPr>
      </w:pPr>
      <w:r>
        <w:rPr/>
        <w:t xml:space="preserve">Éclairage sur l'Éducation à la citoyenneté et solidarité internationale (ECSI) par </w:t>
      </w:r>
      <w:hyperlink r:id="rId21">
        <w:r>
          <w:rPr>
            <w:color w:val="1155CC"/>
            <w:u w:val="single"/>
          </w:rPr>
          <w:t>Ritimo</w:t>
        </w:r>
      </w:hyperlink>
      <w:r>
        <w:rPr/>
        <w:t xml:space="preserve"> et autres ressources sur le site d</w:t>
      </w:r>
      <w:hyperlink r:id="rId22">
        <w:r>
          <w:rPr>
            <w:color w:val="1155CC"/>
            <w:u w:val="single"/>
          </w:rPr>
          <w:t>’Occitanie coopération</w:t>
        </w:r>
      </w:hyperlink>
      <w:r>
        <w:rPr/>
        <w:t>.</w:t>
      </w:r>
    </w:p>
    <w:p>
      <w:pPr>
        <w:pStyle w:val="Normal1"/>
        <w:rPr/>
      </w:pPr>
      <w:r>
        <w:rPr/>
      </w:r>
    </w:p>
    <w:p>
      <w:pPr>
        <w:pStyle w:val="Normal1"/>
        <w:rPr/>
      </w:pPr>
      <w:r>
        <w:rPr/>
      </w:r>
    </w:p>
    <w:p>
      <w:pPr>
        <w:pStyle w:val="Titre1"/>
        <w:keepNext w:val="false"/>
        <w:keepLines w:val="false"/>
        <w:spacing w:lineRule="auto" w:line="240" w:before="480" w:after="120"/>
        <w:jc w:val="both"/>
        <w:rPr>
          <w:sz w:val="22"/>
          <w:szCs w:val="22"/>
        </w:rPr>
      </w:pPr>
      <w:bookmarkStart w:id="6" w:name="_4wvq5cs2jvxs"/>
      <w:bookmarkEnd w:id="6"/>
      <w:r>
        <w:rPr>
          <w:sz w:val="22"/>
          <w:szCs w:val="22"/>
          <w:u w:val="single"/>
        </w:rPr>
        <w:t>Pièces à joindre</w:t>
      </w:r>
      <w:r>
        <w:rPr>
          <w:sz w:val="22"/>
          <w:szCs w:val="22"/>
        </w:rPr>
        <w:t xml:space="preserve"> : </w:t>
      </w:r>
    </w:p>
    <w:p>
      <w:pPr>
        <w:pStyle w:val="Titre1"/>
        <w:keepNext w:val="false"/>
        <w:keepLines w:val="false"/>
        <w:spacing w:lineRule="auto" w:line="240" w:before="480" w:after="120"/>
        <w:jc w:val="both"/>
        <w:rPr>
          <w:sz w:val="22"/>
          <w:szCs w:val="22"/>
        </w:rPr>
      </w:pPr>
      <w:bookmarkStart w:id="7" w:name="_569z59sv1yy9"/>
      <w:bookmarkEnd w:id="7"/>
      <w:r>
        <w:rPr>
          <w:sz w:val="22"/>
          <w:szCs w:val="22"/>
        </w:rPr>
        <w:t>Pour être recevable, votre dossier devra également comporter des pièces liées à votre projet:</w:t>
      </w:r>
    </w:p>
    <w:p>
      <w:pPr>
        <w:pStyle w:val="Normal1"/>
        <w:numPr>
          <w:ilvl w:val="0"/>
          <w:numId w:val="5"/>
        </w:numPr>
        <w:spacing w:before="0" w:afterAutospacing="0" w:after="0"/>
        <w:ind w:left="720" w:hanging="360"/>
        <w:rPr>
          <w:u w:val="none"/>
        </w:rPr>
      </w:pPr>
      <w:r>
        <w:rPr/>
        <w:t xml:space="preserve">Le </w:t>
      </w:r>
      <w:hyperlink r:id="rId23">
        <w:r>
          <w:rPr>
            <w:b/>
            <w:color w:val="1155CC"/>
            <w:u w:val="single"/>
          </w:rPr>
          <w:t>formulaire de candidature</w:t>
        </w:r>
      </w:hyperlink>
      <w:r>
        <w:rPr/>
        <w:t xml:space="preserve"> rempli ;</w:t>
      </w:r>
    </w:p>
    <w:p>
      <w:pPr>
        <w:pStyle w:val="Normal1"/>
        <w:keepNext w:val="false"/>
        <w:keepLines w:val="false"/>
        <w:numPr>
          <w:ilvl w:val="0"/>
          <w:numId w:val="2"/>
        </w:numPr>
        <w:spacing w:lineRule="auto" w:line="240" w:beforeAutospacing="0" w:before="0" w:afterAutospacing="0" w:after="0"/>
        <w:ind w:left="720" w:hanging="360"/>
        <w:jc w:val="both"/>
        <w:rPr>
          <w:u w:val="none"/>
        </w:rPr>
      </w:pPr>
      <w:r>
        <w:rPr/>
        <w:t xml:space="preserve">Une </w:t>
      </w:r>
      <w:hyperlink r:id="rId24">
        <w:r>
          <w:rPr>
            <w:b/>
            <w:color w:val="1155CC"/>
            <w:u w:val="single"/>
          </w:rPr>
          <w:t>convention de partenariat</w:t>
        </w:r>
      </w:hyperlink>
      <w:r>
        <w:rPr/>
        <w:t xml:space="preserve"> récente, en cours de validité et co-signée par l’association et la structure d'éducation ;</w:t>
      </w:r>
    </w:p>
    <w:p>
      <w:pPr>
        <w:pStyle w:val="Normal1"/>
        <w:keepNext w:val="false"/>
        <w:keepLines w:val="false"/>
        <w:numPr>
          <w:ilvl w:val="0"/>
          <w:numId w:val="2"/>
        </w:numPr>
        <w:spacing w:lineRule="auto" w:line="240" w:beforeAutospacing="0" w:before="0" w:afterAutospacing="0" w:after="0"/>
        <w:ind w:left="720" w:hanging="360"/>
        <w:jc w:val="both"/>
        <w:rPr>
          <w:u w:val="none"/>
        </w:rPr>
      </w:pPr>
      <w:r>
        <w:rPr/>
        <w:t>Le récépissé de déclaration préfectorale de la structure ;</w:t>
      </w:r>
    </w:p>
    <w:p>
      <w:pPr>
        <w:pStyle w:val="Normal1"/>
        <w:keepNext w:val="false"/>
        <w:keepLines w:val="false"/>
        <w:numPr>
          <w:ilvl w:val="0"/>
          <w:numId w:val="2"/>
        </w:numPr>
        <w:spacing w:lineRule="auto" w:line="240" w:beforeAutospacing="0" w:before="0" w:afterAutospacing="0" w:after="0"/>
        <w:ind w:left="720" w:hanging="360"/>
        <w:jc w:val="both"/>
        <w:rPr>
          <w:u w:val="none"/>
        </w:rPr>
      </w:pPr>
      <w:r>
        <w:rPr/>
        <w:t>Les statuts du porteur de projet ;</w:t>
      </w:r>
    </w:p>
    <w:p>
      <w:pPr>
        <w:pStyle w:val="Normal1"/>
        <w:keepNext w:val="false"/>
        <w:keepLines w:val="false"/>
        <w:numPr>
          <w:ilvl w:val="0"/>
          <w:numId w:val="2"/>
        </w:numPr>
        <w:spacing w:lineRule="auto" w:line="240" w:beforeAutospacing="0" w:before="0" w:afterAutospacing="0" w:after="0"/>
        <w:ind w:left="720" w:hanging="360"/>
        <w:jc w:val="both"/>
        <w:rPr>
          <w:u w:val="none"/>
        </w:rPr>
      </w:pPr>
      <w:r>
        <w:rPr/>
        <w:t xml:space="preserve">Un </w:t>
      </w:r>
      <w:hyperlink r:id="rId25">
        <w:r>
          <w:rPr>
            <w:b/>
            <w:color w:val="1155CC"/>
            <w:u w:val="single"/>
          </w:rPr>
          <w:t>budget prévisionnel</w:t>
        </w:r>
      </w:hyperlink>
      <w:r>
        <w:rPr/>
        <w:t xml:space="preserve"> détaillant l'ensemble des recettes et dépenses prévisionnelles pour le projet. Ce budget doit être présenté en équilibre (dépenses = recettes) et mentionner les autres cofinancements sollicités par les porteurs de projets. La présence d’autres financeurs constitue un point positif pour le projet. </w:t>
      </w:r>
    </w:p>
    <w:p>
      <w:pPr>
        <w:pStyle w:val="Normal1"/>
        <w:keepNext w:val="false"/>
        <w:keepLines w:val="false"/>
        <w:numPr>
          <w:ilvl w:val="0"/>
          <w:numId w:val="2"/>
        </w:numPr>
        <w:spacing w:lineRule="auto" w:line="240" w:beforeAutospacing="0" w:before="0" w:afterAutospacing="0" w:after="0"/>
        <w:ind w:left="720" w:hanging="360"/>
        <w:jc w:val="both"/>
        <w:rPr>
          <w:u w:val="none"/>
        </w:rPr>
      </w:pPr>
      <w:r>
        <w:rPr/>
        <w:t>Le RIB de la structure porteuse.</w:t>
      </w:r>
    </w:p>
    <w:p>
      <w:pPr>
        <w:pStyle w:val="Normal1"/>
        <w:numPr>
          <w:ilvl w:val="0"/>
          <w:numId w:val="2"/>
        </w:numPr>
        <w:spacing w:lineRule="auto" w:line="240" w:beforeAutospacing="0" w:before="0" w:after="0"/>
        <w:ind w:left="720" w:hanging="360"/>
        <w:jc w:val="both"/>
        <w:rPr>
          <w:sz w:val="22"/>
          <w:szCs w:val="22"/>
        </w:rPr>
      </w:pPr>
      <w:r>
        <w:rPr/>
        <w:t xml:space="preserve">Un </w:t>
      </w:r>
      <w:r>
        <w:rPr>
          <w:b/>
        </w:rPr>
        <w:t>rétroplanning</w:t>
      </w:r>
      <w:r>
        <w:rPr/>
        <w:t xml:space="preserve"> détaillant l'ensemble des activités du projet</w:t>
      </w:r>
    </w:p>
    <w:p>
      <w:pPr>
        <w:pStyle w:val="Normal1"/>
        <w:spacing w:lineRule="auto" w:line="240" w:before="240" w:after="0"/>
        <w:rPr/>
      </w:pPr>
      <w:r>
        <w:rPr/>
      </w:r>
    </w:p>
    <w:tbl>
      <w:tblPr>
        <w:tblStyle w:val="Table1"/>
        <w:tblW w:w="11100" w:type="dxa"/>
        <w:jc w:val="left"/>
        <w:tblInd w:w="-915" w:type="dxa"/>
        <w:tblLayout w:type="fixed"/>
        <w:tblCellMar>
          <w:top w:w="100" w:type="dxa"/>
          <w:left w:w="100" w:type="dxa"/>
          <w:bottom w:w="100" w:type="dxa"/>
          <w:right w:w="100" w:type="dxa"/>
        </w:tblCellMar>
        <w:tblLook w:val="0600"/>
      </w:tblPr>
      <w:tblGrid>
        <w:gridCol w:w="1139"/>
        <w:gridCol w:w="871"/>
        <w:gridCol w:w="810"/>
        <w:gridCol w:w="779"/>
        <w:gridCol w:w="541"/>
        <w:gridCol w:w="645"/>
        <w:gridCol w:w="974"/>
        <w:gridCol w:w="661"/>
        <w:gridCol w:w="1244"/>
        <w:gridCol w:w="1020"/>
        <w:gridCol w:w="1186"/>
        <w:gridCol w:w="1229"/>
      </w:tblGrid>
      <w:tr>
        <w:trPr/>
        <w:tc>
          <w:tcPr>
            <w:tcW w:w="113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 xml:space="preserve">ACTIVITÉS </w:t>
            </w:r>
          </w:p>
        </w:tc>
        <w:tc>
          <w:tcPr>
            <w:tcW w:w="87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Référent</w:t>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MARS</w:t>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AVRIL</w:t>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MAI</w:t>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JUIN</w:t>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JUILLET</w:t>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AOÛT</w:t>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SEPTEMBRE</w:t>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OCTOBRE</w:t>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NOVEMBRE</w:t>
            </w:r>
          </w:p>
        </w:tc>
        <w:tc>
          <w:tcPr>
            <w:tcW w:w="122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6"/>
                <w:szCs w:val="16"/>
              </w:rPr>
            </w:pPr>
            <w:r>
              <w:rPr>
                <w:sz w:val="16"/>
                <w:szCs w:val="16"/>
              </w:rPr>
              <w:t>DÉCEMBRE</w:t>
            </w:r>
          </w:p>
        </w:tc>
      </w:tr>
      <w:tr>
        <w:trPr/>
        <w:tc>
          <w:tcPr>
            <w:tcW w:w="113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8"/>
                <w:szCs w:val="18"/>
              </w:rPr>
            </w:pPr>
            <w:r>
              <w:rPr>
                <w:sz w:val="18"/>
                <w:szCs w:val="18"/>
              </w:rPr>
              <w:t>Activité 1</w:t>
            </w:r>
          </w:p>
        </w:tc>
        <w:tc>
          <w:tcPr>
            <w:tcW w:w="87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1AD9D9" w:val="clear"/>
          </w:tcPr>
          <w:p>
            <w:pPr>
              <w:pStyle w:val="Normal1"/>
              <w:keepNext w:val="false"/>
              <w:keepLines w:val="false"/>
              <w:widowControl w:val="false"/>
              <w:pBdr/>
              <w:shd w:val="clear" w:fill="auto"/>
              <w:spacing w:lineRule="auto" w:line="240" w:before="0" w:after="0"/>
              <w:ind w:left="0" w:right="0" w:hanging="0"/>
              <w:jc w:val="left"/>
              <w:rPr>
                <w:shd w:fill="FFE599" w:val="clear"/>
              </w:rPr>
            </w:pPr>
            <w:r>
              <w:rPr>
                <w:shd w:fill="FFE599" w:val="clear"/>
              </w:rPr>
            </w:r>
          </w:p>
        </w:tc>
        <w:tc>
          <w:tcPr>
            <w:tcW w:w="541" w:type="dxa"/>
            <w:tcBorders>
              <w:top w:val="single" w:sz="8" w:space="0" w:color="000000"/>
              <w:left w:val="single" w:sz="8" w:space="0" w:color="000000"/>
              <w:bottom w:val="single" w:sz="8" w:space="0" w:color="000000"/>
              <w:right w:val="single" w:sz="8" w:space="0" w:color="000000"/>
            </w:tcBorders>
            <w:shd w:fill="1AD9D9" w:val="clear"/>
          </w:tcPr>
          <w:p>
            <w:pPr>
              <w:pStyle w:val="Normal1"/>
              <w:keepNext w:val="false"/>
              <w:keepLines w:val="false"/>
              <w:widowControl w:val="false"/>
              <w:pBdr/>
              <w:shd w:val="clear" w:fill="auto"/>
              <w:spacing w:lineRule="auto" w:line="240" w:before="0" w:after="0"/>
              <w:ind w:left="0" w:right="0" w:hanging="0"/>
              <w:jc w:val="left"/>
              <w:rPr>
                <w:shd w:fill="FFE599" w:val="clear"/>
              </w:rPr>
            </w:pPr>
            <w:r>
              <w:rPr>
                <w:shd w:fill="FFE599" w:val="clear"/>
              </w:rPr>
            </w:r>
          </w:p>
        </w:tc>
        <w:tc>
          <w:tcPr>
            <w:tcW w:w="645" w:type="dxa"/>
            <w:tcBorders>
              <w:top w:val="single" w:sz="8" w:space="0" w:color="000000"/>
              <w:left w:val="single" w:sz="8" w:space="0" w:color="000000"/>
              <w:bottom w:val="single" w:sz="8" w:space="0" w:color="000000"/>
              <w:right w:val="single" w:sz="8" w:space="0" w:color="000000"/>
            </w:tcBorders>
            <w:shd w:fill="1AD9D9" w:val="clear"/>
          </w:tcPr>
          <w:p>
            <w:pPr>
              <w:pStyle w:val="Normal1"/>
              <w:keepNext w:val="false"/>
              <w:keepLines w:val="false"/>
              <w:widowControl w:val="false"/>
              <w:pBdr/>
              <w:shd w:val="clear" w:fill="auto"/>
              <w:spacing w:lineRule="auto" w:line="240" w:before="0" w:after="0"/>
              <w:ind w:left="0" w:right="0" w:hanging="0"/>
              <w:jc w:val="left"/>
              <w:rPr>
                <w:shd w:fill="FFE599" w:val="clear"/>
              </w:rPr>
            </w:pPr>
            <w:r>
              <w:rPr>
                <w:shd w:fill="FFE599" w:val="clea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hd w:fill="FFE599" w:val="clear"/>
              </w:rPr>
            </w:pPr>
            <w:r>
              <w:rPr>
                <w:shd w:fill="FFE599" w:val="clea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2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13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8"/>
                <w:szCs w:val="18"/>
              </w:rPr>
            </w:pPr>
            <w:r>
              <w:rPr>
                <w:sz w:val="18"/>
                <w:szCs w:val="18"/>
              </w:rPr>
              <w:t>Activité 2</w:t>
            </w:r>
          </w:p>
        </w:tc>
        <w:tc>
          <w:tcPr>
            <w:tcW w:w="87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2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13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sz w:val="18"/>
                <w:szCs w:val="18"/>
              </w:rPr>
            </w:pPr>
            <w:r>
              <w:rPr>
                <w:sz w:val="18"/>
                <w:szCs w:val="18"/>
              </w:rPr>
              <w:t>Activité 3</w:t>
            </w:r>
          </w:p>
        </w:tc>
        <w:tc>
          <w:tcPr>
            <w:tcW w:w="87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shd w:fill="1AD9D9" w:val="clear"/>
              </w:rPr>
            </w:pPr>
            <w:r>
              <w:rPr>
                <w:shd w:fill="1AD9D9" w:val="clear"/>
              </w:rPr>
            </w:r>
          </w:p>
        </w:tc>
        <w:tc>
          <w:tcPr>
            <w:tcW w:w="974"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pPr>
            <w:r>
              <w:rPr/>
            </w:r>
          </w:p>
        </w:tc>
        <w:tc>
          <w:tcPr>
            <w:tcW w:w="1186"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29" w:type="dxa"/>
            <w:tcBorders>
              <w:top w:val="single" w:sz="8" w:space="0" w:color="000000"/>
              <w:left w:val="single" w:sz="8" w:space="0" w:color="000000"/>
              <w:bottom w:val="single" w:sz="8" w:space="0" w:color="000000"/>
              <w:right w:val="single" w:sz="8" w:space="0" w:color="000000"/>
            </w:tcBorders>
            <w:shd w:fill="FF9900"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13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7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2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r>
        <w:trPr/>
        <w:tc>
          <w:tcPr>
            <w:tcW w:w="113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7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81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77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54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45"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97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661"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44"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020"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186"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c>
          <w:tcPr>
            <w:tcW w:w="122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left"/>
              <w:rPr/>
            </w:pPr>
            <w:r>
              <w:rPr/>
            </w:r>
          </w:p>
        </w:tc>
      </w:tr>
    </w:tbl>
    <w:p>
      <w:pPr>
        <w:pStyle w:val="Normal1"/>
        <w:spacing w:lineRule="auto" w:line="240" w:before="240" w:after="0"/>
        <w:rPr/>
      </w:pPr>
      <w:r>
        <w:rPr/>
      </w:r>
    </w:p>
    <w:p>
      <w:pPr>
        <w:pStyle w:val="Normal1"/>
        <w:spacing w:lineRule="auto" w:line="240" w:before="240" w:after="0"/>
        <w:jc w:val="both"/>
        <w:rPr/>
      </w:pPr>
      <w:r>
        <w:rPr/>
        <w:t>RBS vous accompagne et propose tout au long du projet : appui, conseil, formations, suivi individualisé et organise des temps de valorisation de vos projets et de partage d’expériences.</w:t>
      </w:r>
    </w:p>
    <w:p>
      <w:pPr>
        <w:pStyle w:val="Normal1"/>
        <w:spacing w:lineRule="auto" w:line="240" w:before="240" w:after="0"/>
        <w:jc w:val="both"/>
        <w:rPr/>
      </w:pPr>
      <w:r>
        <w:rPr/>
      </w:r>
    </w:p>
    <w:p>
      <w:pPr>
        <w:pStyle w:val="Normal1"/>
        <w:spacing w:lineRule="auto" w:line="240" w:before="240" w:after="0"/>
        <w:rPr/>
      </w:pPr>
      <w:r>
        <w:rPr/>
      </w:r>
    </w:p>
    <w:tbl>
      <w:tblPr>
        <w:tblStyle w:val="Table2"/>
        <w:tblW w:w="9029" w:type="dxa"/>
        <w:jc w:val="left"/>
        <w:tblInd w:w="0" w:type="dxa"/>
        <w:tblLayout w:type="fixed"/>
        <w:tblCellMar>
          <w:top w:w="100" w:type="dxa"/>
          <w:left w:w="100" w:type="dxa"/>
          <w:bottom w:w="100" w:type="dxa"/>
          <w:right w:w="100" w:type="dxa"/>
        </w:tblCellMar>
        <w:tblLook w:val="0600"/>
      </w:tblPr>
      <w:tblGrid>
        <w:gridCol w:w="9029"/>
      </w:tblGrid>
      <w:tr>
        <w:trPr/>
        <w:tc>
          <w:tcPr>
            <w:tcW w:w="9029" w:type="dxa"/>
            <w:tcBorders>
              <w:top w:val="single" w:sz="8" w:space="0" w:color="000000"/>
              <w:left w:val="single" w:sz="8" w:space="0" w:color="000000"/>
              <w:bottom w:val="single" w:sz="8" w:space="0" w:color="000000"/>
              <w:right w:val="single" w:sz="8" w:space="0" w:color="000000"/>
            </w:tcBorders>
            <w:shd w:fill="auto" w:val="clear"/>
          </w:tcPr>
          <w:p>
            <w:pPr>
              <w:pStyle w:val="Normal1"/>
              <w:keepNext w:val="false"/>
              <w:keepLines w:val="false"/>
              <w:widowControl w:val="false"/>
              <w:pBdr/>
              <w:shd w:val="clear" w:fill="auto"/>
              <w:spacing w:lineRule="auto" w:line="240" w:before="0" w:after="0"/>
              <w:ind w:left="0" w:right="0" w:hanging="0"/>
              <w:jc w:val="both"/>
              <w:rPr>
                <w:sz w:val="28"/>
                <w:szCs w:val="28"/>
              </w:rPr>
            </w:pPr>
            <w:r>
              <w:rPr>
                <w:sz w:val="28"/>
                <w:szCs w:val="28"/>
              </w:rPr>
              <w:t xml:space="preserve">Pour toutes questions, n’hésitez pas à contacter Agathe Neveu, chargée de mission par mail </w:t>
            </w:r>
            <w:r>
              <w:rPr>
                <w:b/>
                <w:sz w:val="28"/>
                <w:szCs w:val="28"/>
              </w:rPr>
              <w:t>animation@bretagne-solidaire.bzh</w:t>
            </w:r>
            <w:r>
              <w:rPr>
                <w:sz w:val="28"/>
                <w:szCs w:val="28"/>
              </w:rPr>
              <w:t xml:space="preserve"> </w:t>
            </w:r>
          </w:p>
          <w:p>
            <w:pPr>
              <w:pStyle w:val="Normal1"/>
              <w:keepNext w:val="false"/>
              <w:keepLines w:val="false"/>
              <w:widowControl w:val="false"/>
              <w:pBdr/>
              <w:shd w:val="clear" w:fill="auto"/>
              <w:spacing w:lineRule="auto" w:line="240" w:before="0" w:after="0"/>
              <w:ind w:left="0" w:right="0" w:hanging="0"/>
              <w:jc w:val="both"/>
              <w:rPr>
                <w:sz w:val="28"/>
                <w:szCs w:val="28"/>
              </w:rPr>
            </w:pPr>
            <w:r>
              <w:rPr>
                <w:sz w:val="28"/>
                <w:szCs w:val="28"/>
              </w:rPr>
              <w:t>ou par téléphone au</w:t>
            </w:r>
            <w:r>
              <w:rPr>
                <w:b/>
                <w:sz w:val="28"/>
                <w:szCs w:val="28"/>
              </w:rPr>
              <w:t xml:space="preserve"> 07 61 58 27 87</w:t>
            </w:r>
            <w:r>
              <w:rPr>
                <w:sz w:val="28"/>
                <w:szCs w:val="28"/>
              </w:rPr>
              <w:t>.</w:t>
            </w:r>
          </w:p>
        </w:tc>
      </w:tr>
    </w:tbl>
    <w:p>
      <w:pPr>
        <w:pStyle w:val="Normal1"/>
        <w:jc w:val="both"/>
        <w:rPr/>
      </w:pPr>
      <w:r>
        <w:rPr/>
      </w:r>
    </w:p>
    <w:p>
      <w:pPr>
        <w:pStyle w:val="Normal1"/>
        <w:jc w:val="both"/>
        <w:rPr/>
      </w:pPr>
      <w:r>
        <w:rPr/>
      </w:r>
    </w:p>
    <w:sectPr>
      <w:footnotePr>
        <w:numFmt w:val="decimal"/>
      </w:footnotePr>
      <w:type w:val="nextPage"/>
      <w:pgSz w:w="11906" w:h="16838"/>
      <w:pgMar w:left="1440" w:right="1440" w:gutter="0" w:header="0" w:top="566" w:footer="0" w:bottom="144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swiss"/>
    <w:pitch w:val="variable"/>
  </w:font>
  <w:font w:name="OpenSymbol">
    <w:altName w:val="Arial Unicode MS"/>
    <w:charset w:val="01"/>
    <w:family w:val="auto"/>
    <w:pitch w:val="default"/>
  </w:font>
  <w:font w:name="Wingdings">
    <w:charset w:val="02"/>
    <w:family w:val="auto"/>
    <w:pitch w:val="default"/>
  </w:font>
  <w:font w:name="Wingdings 2">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pPr>
        <w:rPr>
          <w:sz w:val="12"/>
        </w:rPr>
      </w:pPr>
      <w:r/>
    </w:p>
  </w:footnote>
  <w:footnote w:id="1" w:type="continuationSeparator">
    <w:p>
      <w:pPr>
        <w:rPr>
          <w:sz w:val="12"/>
        </w:rPr>
      </w:pPr>
      <w:r/>
    </w:p>
  </w:footnote>
  <w:footnote w:id="2">
    <w:p>
      <w:pPr>
        <w:pStyle w:val="Normal1"/>
        <w:spacing w:lineRule="auto" w:line="240"/>
        <w:rPr>
          <w:sz w:val="20"/>
          <w:szCs w:val="20"/>
        </w:rPr>
      </w:pPr>
      <w:r>
        <w:rPr>
          <w:rStyle w:val="Caractresdenotedebasdepage"/>
        </w:rPr>
        <w:footnoteRef/>
      </w:r>
      <w:r>
        <w:rPr>
          <w:sz w:val="20"/>
          <w:szCs w:val="20"/>
          <w:vertAlign w:val="superscript"/>
        </w:rPr>
        <w:t xml:space="preserve"> </w:t>
      </w:r>
      <w:r>
        <w:rPr>
          <w:sz w:val="20"/>
          <w:szCs w:val="20"/>
        </w:rPr>
        <w:t xml:space="preserve">Lorsque l’on parle d’éducation non formelle, on désigne une activité pédagogique organisée qui se déroule en dehors du système d’éducation formel </w:t>
      </w:r>
    </w:p>
    <w:p>
      <w:pPr>
        <w:pStyle w:val="Normal1"/>
        <w:spacing w:lineRule="auto" w:line="240"/>
        <w:rPr>
          <w:sz w:val="20"/>
          <w:szCs w:val="20"/>
          <w:vertAlign w:val="superscript"/>
        </w:rPr>
      </w:pPr>
      <w:r>
        <w:rPr/>
      </w:r>
    </w:p>
  </w:footnote>
  <w:footnote w:id="3">
    <w:p>
      <w:pPr>
        <w:pStyle w:val="Normal1"/>
        <w:spacing w:lineRule="auto" w:line="240"/>
        <w:rPr>
          <w:sz w:val="20"/>
          <w:szCs w:val="20"/>
          <w:vertAlign w:val="superscript"/>
        </w:rPr>
      </w:pPr>
      <w:r>
        <w:rPr>
          <w:rStyle w:val="Caractresdenotedebasdepage"/>
        </w:rPr>
        <w:footnoteRef/>
      </w:r>
      <w:r>
        <w:rPr>
          <w:sz w:val="20"/>
          <w:szCs w:val="20"/>
          <w:vertAlign w:val="superscript"/>
        </w:rPr>
        <w:t xml:space="preserve"> </w:t>
      </w:r>
      <w:hyperlink r:id="rId1">
        <w:r>
          <w:rPr>
            <w:color w:val="1155CC"/>
            <w:sz w:val="20"/>
            <w:szCs w:val="20"/>
            <w:u w:val="single"/>
            <w:vertAlign w:val="superscript"/>
          </w:rPr>
          <w:t>https://www.associatheque.fr/fr/focus-attribuer-valeur-comptable-benevolat.html</w:t>
        </w:r>
      </w:hyperlink>
      <w:r>
        <w:rPr>
          <w:sz w:val="20"/>
          <w:szCs w:val="20"/>
          <w:vertAlign w:val="superscript"/>
        </w:rPr>
        <w:t xml:space="preserve"> </w:t>
      </w:r>
    </w:p>
  </w:footnote>
  <w:footnote w:id="4">
    <w:p>
      <w:pPr>
        <w:pStyle w:val="Normal1"/>
        <w:spacing w:lineRule="auto" w:line="240"/>
        <w:rPr>
          <w:vertAlign w:val="superscript"/>
        </w:rPr>
      </w:pPr>
      <w:r>
        <w:rPr>
          <w:rStyle w:val="Caractresdenotedebasdepage"/>
        </w:rPr>
        <w:footnoteRef/>
      </w:r>
      <w:r>
        <w:rPr>
          <w:sz w:val="20"/>
          <w:szCs w:val="20"/>
          <w:vertAlign w:val="superscript"/>
        </w:rPr>
        <w:t xml:space="preserve"> </w:t>
      </w:r>
      <w:r>
        <w:rPr>
          <w:vertAlign w:val="superscript"/>
        </w:rPr>
        <w:t>Organisation de la société civile</w:t>
      </w:r>
    </w:p>
  </w:footnote>
  <w:footnote w:id="5">
    <w:p>
      <w:pPr>
        <w:pStyle w:val="Normal1"/>
        <w:spacing w:lineRule="auto" w:line="240"/>
        <w:rPr>
          <w:sz w:val="20"/>
          <w:szCs w:val="20"/>
          <w:vertAlign w:val="superscript"/>
        </w:rPr>
      </w:pPr>
      <w:r>
        <w:rPr>
          <w:rStyle w:val="Caractresdenotedebasdepage"/>
        </w:rPr>
        <w:footnoteRef/>
      </w:r>
      <w:r>
        <w:rPr>
          <w:sz w:val="20"/>
          <w:szCs w:val="20"/>
          <w:vertAlign w:val="superscript"/>
        </w:rPr>
        <w:t xml:space="preserve"> </w:t>
      </w:r>
      <w:r>
        <w:rPr>
          <w:sz w:val="20"/>
          <w:szCs w:val="20"/>
          <w:vertAlign w:val="superscript"/>
        </w:rPr>
        <w:t xml:space="preserve">Ministère de l’Europe et des Affaires étrangères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440" w:hanging="360"/>
      </w:pPr>
      <w:rPr>
        <w:rFonts w:ascii="OpenSymbol" w:hAnsi="OpenSymbol" w:cs="OpenSymbol" w:hint="default"/>
        <w:u w:val="none"/>
      </w:rPr>
    </w:lvl>
    <w:lvl w:ilvl="1">
      <w:start w:val="1"/>
      <w:numFmt w:val="bullet"/>
      <w:lvlText w:val="-"/>
      <w:lvlJc w:val="left"/>
      <w:pPr>
        <w:tabs>
          <w:tab w:val="num" w:pos="0"/>
        </w:tabs>
        <w:ind w:left="2160" w:hanging="360"/>
      </w:pPr>
      <w:rPr>
        <w:rFonts w:ascii="OpenSymbol" w:hAnsi="OpenSymbol" w:cs="OpenSymbol" w:hint="default"/>
        <w:u w:val="none"/>
      </w:rPr>
    </w:lvl>
    <w:lvl w:ilvl="2">
      <w:start w:val="1"/>
      <w:numFmt w:val="bullet"/>
      <w:lvlText w:val="-"/>
      <w:lvlJc w:val="left"/>
      <w:pPr>
        <w:tabs>
          <w:tab w:val="num" w:pos="0"/>
        </w:tabs>
        <w:ind w:left="2880" w:hanging="360"/>
      </w:pPr>
      <w:rPr>
        <w:rFonts w:ascii="OpenSymbol" w:hAnsi="OpenSymbol" w:cs="OpenSymbol" w:hint="default"/>
        <w:u w:val="none"/>
      </w:rPr>
    </w:lvl>
    <w:lvl w:ilvl="3">
      <w:start w:val="1"/>
      <w:numFmt w:val="bullet"/>
      <w:lvlText w:val="-"/>
      <w:lvlJc w:val="left"/>
      <w:pPr>
        <w:tabs>
          <w:tab w:val="num" w:pos="0"/>
        </w:tabs>
        <w:ind w:left="3600" w:hanging="360"/>
      </w:pPr>
      <w:rPr>
        <w:rFonts w:ascii="OpenSymbol" w:hAnsi="OpenSymbol" w:cs="OpenSymbol" w:hint="default"/>
        <w:u w:val="none"/>
      </w:rPr>
    </w:lvl>
    <w:lvl w:ilvl="4">
      <w:start w:val="1"/>
      <w:numFmt w:val="bullet"/>
      <w:lvlText w:val="-"/>
      <w:lvlJc w:val="left"/>
      <w:pPr>
        <w:tabs>
          <w:tab w:val="num" w:pos="0"/>
        </w:tabs>
        <w:ind w:left="4320" w:hanging="360"/>
      </w:pPr>
      <w:rPr>
        <w:rFonts w:ascii="OpenSymbol" w:hAnsi="OpenSymbol" w:cs="OpenSymbol" w:hint="default"/>
        <w:u w:val="none"/>
      </w:rPr>
    </w:lvl>
    <w:lvl w:ilvl="5">
      <w:start w:val="1"/>
      <w:numFmt w:val="bullet"/>
      <w:lvlText w:val="-"/>
      <w:lvlJc w:val="left"/>
      <w:pPr>
        <w:tabs>
          <w:tab w:val="num" w:pos="0"/>
        </w:tabs>
        <w:ind w:left="5040" w:hanging="360"/>
      </w:pPr>
      <w:rPr>
        <w:rFonts w:ascii="OpenSymbol" w:hAnsi="OpenSymbol" w:cs="OpenSymbol" w:hint="default"/>
        <w:u w:val="none"/>
      </w:rPr>
    </w:lvl>
    <w:lvl w:ilvl="6">
      <w:start w:val="1"/>
      <w:numFmt w:val="bullet"/>
      <w:lvlText w:val="-"/>
      <w:lvlJc w:val="left"/>
      <w:pPr>
        <w:tabs>
          <w:tab w:val="num" w:pos="0"/>
        </w:tabs>
        <w:ind w:left="5760" w:hanging="360"/>
      </w:pPr>
      <w:rPr>
        <w:rFonts w:ascii="OpenSymbol" w:hAnsi="OpenSymbol" w:cs="OpenSymbol" w:hint="default"/>
        <w:u w:val="none"/>
      </w:rPr>
    </w:lvl>
    <w:lvl w:ilvl="7">
      <w:start w:val="1"/>
      <w:numFmt w:val="bullet"/>
      <w:lvlText w:val="-"/>
      <w:lvlJc w:val="left"/>
      <w:pPr>
        <w:tabs>
          <w:tab w:val="num" w:pos="0"/>
        </w:tabs>
        <w:ind w:left="6480" w:hanging="360"/>
      </w:pPr>
      <w:rPr>
        <w:rFonts w:ascii="OpenSymbol" w:hAnsi="OpenSymbol" w:cs="OpenSymbol" w:hint="default"/>
        <w:u w:val="none"/>
      </w:rPr>
    </w:lvl>
    <w:lvl w:ilvl="8">
      <w:start w:val="1"/>
      <w:numFmt w:val="bullet"/>
      <w:lvlText w:val="-"/>
      <w:lvlJc w:val="left"/>
      <w:pPr>
        <w:tabs>
          <w:tab w:val="num" w:pos="0"/>
        </w:tabs>
        <w:ind w:left="7200" w:hanging="360"/>
      </w:pPr>
      <w:rPr>
        <w:rFonts w:ascii="OpenSymbol" w:hAnsi="OpenSymbol" w:cs="OpenSymbol" w:hint="default"/>
        <w:u w:val="none"/>
      </w:rPr>
    </w:lvl>
  </w:abstractNum>
  <w:abstractNum w:abstractNumId="2">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3">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4">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5">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6">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7">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8">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9">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0">
    <w:lvl w:ilvl="0">
      <w:start w:val="1"/>
      <w:numFmt w:val="bullet"/>
      <w:lvlText w:val=""/>
      <w:lvlJc w:val="left"/>
      <w:pPr>
        <w:tabs>
          <w:tab w:val="num" w:pos="0"/>
        </w:tabs>
        <w:ind w:left="720" w:hanging="360"/>
      </w:pPr>
      <w:rPr>
        <w:rFonts w:ascii="Wingdings" w:hAnsi="Wingdings" w:cs="Wingdings" w:hint="default"/>
        <w:u w:val="none"/>
      </w:rPr>
    </w:lvl>
    <w:lvl w:ilvl="1">
      <w:start w:val="1"/>
      <w:numFmt w:val="bullet"/>
      <w:lvlText w:val=""/>
      <w:lvlJc w:val="left"/>
      <w:pPr>
        <w:tabs>
          <w:tab w:val="num" w:pos="0"/>
        </w:tabs>
        <w:ind w:left="1440" w:hanging="360"/>
      </w:pPr>
      <w:rPr>
        <w:rFonts w:ascii="Wingdings 2" w:hAnsi="Wingdings 2" w:cs="Wingdings 2" w:hint="default"/>
        <w:u w:val="none"/>
      </w:rPr>
    </w:lvl>
    <w:lvl w:ilvl="2">
      <w:start w:val="1"/>
      <w:numFmt w:val="bullet"/>
      <w:lvlText w:val="■"/>
      <w:lvlJc w:val="left"/>
      <w:pPr>
        <w:tabs>
          <w:tab w:val="num" w:pos="0"/>
        </w:tabs>
        <w:ind w:left="2160" w:hanging="360"/>
      </w:pPr>
      <w:rPr>
        <w:rFonts w:ascii="OpenSymbol" w:hAnsi="OpenSymbol" w:cs="OpenSymbol" w:hint="default"/>
        <w:u w:val="none"/>
      </w:rPr>
    </w:lvl>
    <w:lvl w:ilvl="3">
      <w:start w:val="1"/>
      <w:numFmt w:val="bullet"/>
      <w:lvlText w:val=""/>
      <w:lvlJc w:val="left"/>
      <w:pPr>
        <w:tabs>
          <w:tab w:val="num" w:pos="0"/>
        </w:tabs>
        <w:ind w:left="2880" w:hanging="360"/>
      </w:pPr>
      <w:rPr>
        <w:rFonts w:ascii="Wingdings" w:hAnsi="Wingdings" w:cs="Wingdings" w:hint="default"/>
        <w:u w:val="none"/>
      </w:rPr>
    </w:lvl>
    <w:lvl w:ilvl="4">
      <w:start w:val="1"/>
      <w:numFmt w:val="bullet"/>
      <w:lvlText w:val=""/>
      <w:lvlJc w:val="left"/>
      <w:pPr>
        <w:tabs>
          <w:tab w:val="num" w:pos="0"/>
        </w:tabs>
        <w:ind w:left="3600" w:hanging="360"/>
      </w:pPr>
      <w:rPr>
        <w:rFonts w:ascii="Wingdings 2" w:hAnsi="Wingdings 2" w:cs="Wingdings 2" w:hint="default"/>
        <w:u w:val="none"/>
      </w:rPr>
    </w:lvl>
    <w:lvl w:ilvl="5">
      <w:start w:val="1"/>
      <w:numFmt w:val="bullet"/>
      <w:lvlText w:val="■"/>
      <w:lvlJc w:val="left"/>
      <w:pPr>
        <w:tabs>
          <w:tab w:val="num" w:pos="0"/>
        </w:tabs>
        <w:ind w:left="4320" w:hanging="360"/>
      </w:pPr>
      <w:rPr>
        <w:rFonts w:ascii="OpenSymbol" w:hAnsi="OpenSymbol" w:cs="OpenSymbol" w:hint="default"/>
        <w:u w:val="none"/>
      </w:rPr>
    </w:lvl>
    <w:lvl w:ilvl="6">
      <w:start w:val="1"/>
      <w:numFmt w:val="bullet"/>
      <w:lvlText w:val=""/>
      <w:lvlJc w:val="left"/>
      <w:pPr>
        <w:tabs>
          <w:tab w:val="num" w:pos="0"/>
        </w:tabs>
        <w:ind w:left="5040" w:hanging="360"/>
      </w:pPr>
      <w:rPr>
        <w:rFonts w:ascii="Wingdings" w:hAnsi="Wingdings" w:cs="Wingdings" w:hint="default"/>
        <w:u w:val="none"/>
      </w:rPr>
    </w:lvl>
    <w:lvl w:ilvl="7">
      <w:start w:val="1"/>
      <w:numFmt w:val="bullet"/>
      <w:lvlText w:val=""/>
      <w:lvlJc w:val="left"/>
      <w:pPr>
        <w:tabs>
          <w:tab w:val="num" w:pos="0"/>
        </w:tabs>
        <w:ind w:left="5760" w:hanging="360"/>
      </w:pPr>
      <w:rPr>
        <w:rFonts w:ascii="Wingdings 2" w:hAnsi="Wingdings 2" w:cs="Wingdings 2" w:hint="default"/>
        <w:u w:val="none"/>
      </w:rPr>
    </w:lvl>
    <w:lvl w:ilvl="8">
      <w:start w:val="1"/>
      <w:numFmt w:val="bullet"/>
      <w:lvlText w:val="■"/>
      <w:lvlJc w:val="left"/>
      <w:pPr>
        <w:tabs>
          <w:tab w:val="num" w:pos="0"/>
        </w:tabs>
        <w:ind w:left="6480" w:hanging="360"/>
      </w:pPr>
      <w:rPr>
        <w:rFonts w:ascii="OpenSymbol" w:hAnsi="OpenSymbol" w:cs="OpenSymbol" w:hint="default"/>
        <w:u w:val="none"/>
      </w:rPr>
    </w:lvl>
  </w:abstractNum>
  <w:abstractNum w:abstractNumId="1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w:zoom w:percent="80"/>
  <w:defaultTabStop w:val="720"/>
  <w:autoHyphenation w:val="true"/>
  <w:footnotePr>
    <w:numFmt w:val="decimal"/>
    <w:footnote w:id="0"/>
    <w:footnote w:id="1"/>
  </w:footnotePr>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Normal1"/>
    <w:next w:val="Normal1"/>
    <w:qFormat/>
    <w:pPr>
      <w:keepNext w:val="true"/>
      <w:keepLines/>
      <w:pageBreakBefore w:val="false"/>
      <w:spacing w:lineRule="auto" w:line="240" w:before="400" w:after="120"/>
    </w:pPr>
    <w:rPr>
      <w:sz w:val="40"/>
      <w:szCs w:val="40"/>
    </w:rPr>
  </w:style>
  <w:style w:type="paragraph" w:styleId="Titre2">
    <w:name w:val="Heading 2"/>
    <w:basedOn w:val="Normal1"/>
    <w:next w:val="Normal1"/>
    <w:qFormat/>
    <w:pPr>
      <w:keepNext w:val="true"/>
      <w:keepLines/>
      <w:pageBreakBefore w:val="false"/>
      <w:spacing w:lineRule="auto" w:line="240" w:before="360" w:after="120"/>
    </w:pPr>
    <w:rPr>
      <w:b w:val="false"/>
      <w:sz w:val="32"/>
      <w:szCs w:val="32"/>
    </w:rPr>
  </w:style>
  <w:style w:type="paragraph" w:styleId="Titre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Titre4">
    <w:name w:val="Heading 4"/>
    <w:basedOn w:val="Normal1"/>
    <w:next w:val="Normal1"/>
    <w:qFormat/>
    <w:pPr>
      <w:keepNext w:val="true"/>
      <w:keepLines/>
      <w:pageBreakBefore w:val="false"/>
      <w:spacing w:lineRule="auto" w:line="240" w:before="280" w:after="80"/>
    </w:pPr>
    <w:rPr>
      <w:color w:val="666666"/>
      <w:sz w:val="24"/>
      <w:szCs w:val="24"/>
    </w:rPr>
  </w:style>
  <w:style w:type="paragraph" w:styleId="Titre5">
    <w:name w:val="Heading 5"/>
    <w:basedOn w:val="Normal1"/>
    <w:next w:val="Normal1"/>
    <w:qFormat/>
    <w:pPr>
      <w:keepNext w:val="true"/>
      <w:keepLines/>
      <w:pageBreakBefore w:val="false"/>
      <w:spacing w:lineRule="auto" w:line="240" w:before="240" w:after="80"/>
    </w:pPr>
    <w:rPr>
      <w:color w:val="666666"/>
      <w:sz w:val="22"/>
      <w:szCs w:val="22"/>
    </w:rPr>
  </w:style>
  <w:style w:type="paragraph" w:styleId="Titre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LienInternet">
    <w:name w:val="Lien Internet"/>
    <w:rPr>
      <w:color w:val="000080"/>
      <w:u w:val="single"/>
      <w:lang w:val="zxx" w:eastAsia="zxx" w:bidi="zxx"/>
    </w:rPr>
  </w:style>
  <w:style w:type="character" w:styleId="Caractresdenotedebasdepage">
    <w:name w:val="Caractères de note de bas de page"/>
    <w:qFormat/>
    <w:rPr/>
  </w:style>
  <w:style w:type="character" w:styleId="Ancredenotedebasdepage">
    <w:name w:val="Ancre de note de bas de page"/>
    <w:rPr>
      <w:vertAlign w:val="superscrip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Normal1"/>
    <w:next w:val="Normal1"/>
    <w:qFormat/>
    <w:pPr>
      <w:keepNext w:val="true"/>
      <w:keepLines/>
      <w:pageBreakBefore w:val="false"/>
      <w:spacing w:lineRule="auto" w:line="240" w:before="0" w:after="60"/>
    </w:pPr>
    <w:rPr>
      <w:sz w:val="52"/>
      <w:szCs w:val="52"/>
    </w:rPr>
  </w:style>
  <w:style w:type="paragraph" w:styleId="Soustitr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paragraph" w:styleId="Notedebasdepage">
    <w:name w:val="Footnote Text"/>
    <w:basedOn w:val="Normal"/>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hyperlink" Target="https://www.afd.fr/fr/carte-des-projets/programme-recital" TargetMode="External"/><Relationship Id="rId10" Type="http://schemas.openxmlformats.org/officeDocument/2006/relationships/hyperlink" Target="https://www.afd.fr/fr/carte-des-projets/programme-recital" TargetMode="External"/><Relationship Id="rId11" Type="http://schemas.openxmlformats.org/officeDocument/2006/relationships/hyperlink" Target="https://www.afd.fr/fr" TargetMode="External"/><Relationship Id="rId12" Type="http://schemas.openxmlformats.org/officeDocument/2006/relationships/hyperlink" Target="https://rrma.fr/" TargetMode="External"/><Relationship Id="rId13" Type="http://schemas.openxmlformats.org/officeDocument/2006/relationships/hyperlink" Target="https://rrma.fr/" TargetMode="External"/><Relationship Id="rId14" Type="http://schemas.openxmlformats.org/officeDocument/2006/relationships/hyperlink" Target="https://www.un.org/sustainabledevelopment/fr/objectifs-de-developpement-durable/" TargetMode="External"/><Relationship Id="rId15" Type="http://schemas.openxmlformats.org/officeDocument/2006/relationships/hyperlink" Target="https://www.un.org/sustainabledevelopment/fr/objectifs-de-developpement-durable/" TargetMode="External"/><Relationship Id="rId16" Type="http://schemas.openxmlformats.org/officeDocument/2006/relationships/image" Target="media/image8.png"/><Relationship Id="rId17" Type="http://schemas.openxmlformats.org/officeDocument/2006/relationships/hyperlink" Target="https://www.bretagne-solidaire.bzh/annuaire-des-membres/?r=acteur_membre,acteur_adherent,acteur_membre_adherent&amp;b=((44.45333824520336, -8.108306364418015), (49.96884370798557, 5.954193635581966))&amp;z=6&amp;c=(47.28290753194215, -1.0770563644180142)&amp;pg=&amp;pol=1&amp;loa=0" TargetMode="External"/><Relationship Id="rId18" Type="http://schemas.openxmlformats.org/officeDocument/2006/relationships/image" Target="media/image9.png"/><Relationship Id="rId19" Type="http://schemas.openxmlformats.org/officeDocument/2006/relationships/hyperlink" Target="https://bfc-international.org/wp-content/uploads/2022/09/Recueil-dinititatives-et-Fiches-projets.pdf" TargetMode="External"/><Relationship Id="rId20" Type="http://schemas.openxmlformats.org/officeDocument/2006/relationships/hyperlink" Target="https://www.paysdelaloire-cooperation-internationale.org/les-tandems-solidaires/" TargetMode="External"/><Relationship Id="rId21" Type="http://schemas.openxmlformats.org/officeDocument/2006/relationships/hyperlink" Target="https://www.ritimo.org/pedagogie-et-demarche-de-l-ecsi" TargetMode="External"/><Relationship Id="rId22" Type="http://schemas.openxmlformats.org/officeDocument/2006/relationships/hyperlink" Target="https://www.oc-cooperation.org/ressources-en-ecm/" TargetMode="External"/><Relationship Id="rId23" Type="http://schemas.openxmlformats.org/officeDocument/2006/relationships/hyperlink" Target="https://docs.google.com/document/d/1gW5ti8LvptWvp07mKsoqXUcHySAe_CtsnYJhFAmLLKA/edit?usp=sharing" TargetMode="External"/><Relationship Id="rId24" Type="http://schemas.openxmlformats.org/officeDocument/2006/relationships/hyperlink" Target="https://docs.google.com/document/d/1gW5ti8LvptWvp07mKsoqXUcHySAe_CtsnYJhFAmLLKA/edit?usp=sharing" TargetMode="External"/><Relationship Id="rId25" Type="http://schemas.openxmlformats.org/officeDocument/2006/relationships/hyperlink" Target="https://docs.google.com/document/d/1E3Cg32me8aeC2ladFsCG33O0YYd1Fl_1eTOeowfwY-8/edit?usp=sharing" TargetMode="External"/><Relationship Id="rId26" Type="http://schemas.openxmlformats.org/officeDocument/2006/relationships/footnotes" Target="footnotes.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otnotes.xml.rels><?xml version="1.0" encoding="UTF-8"?>
<Relationships xmlns="http://schemas.openxmlformats.org/package/2006/relationships"><Relationship Id="rId1" Type="http://schemas.openxmlformats.org/officeDocument/2006/relationships/hyperlink" Target="https://www.associatheque.fr/fr/focus-attribuer-valeur-comptable-benevolat.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8</TotalTime>
  <Application>LibreOffice/7.2.1.2$Windows_X86_64 LibreOffice_project/87b77fad49947c1441b67c559c339af8f3517e22</Application>
  <AppVersion>15.0000</AppVersion>
  <Pages>7</Pages>
  <Words>1521</Words>
  <Characters>8461</Characters>
  <CharactersWithSpaces>9951</CharactersWithSpaces>
  <Paragraphs>91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2022-12-05T17:52:46Z</dcterms:modified>
  <cp:revision>1</cp:revision>
  <dc:subject/>
  <dc:title/>
</cp:coreProperties>
</file>